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rPr>
          <w:rFonts w:hint="eastAsia"/>
          <w:lang w:val="en-US" w:eastAsia="zh-CN"/>
        </w:rPr>
        <w:t>2</w:t>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rPr>
          <w:rFonts w:hint="eastAsia"/>
          <w:lang w:val="en-US" w:eastAsia="zh-CN"/>
        </w:rPr>
        <w:t>5</w:t>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rPr>
          <w:rFonts w:hint="eastAsia"/>
          <w:lang w:val="en-US" w:eastAsia="zh-CN"/>
        </w:rPr>
        <w:t>7</w:t>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rPr>
          <w:rFonts w:hint="eastAsia"/>
          <w:lang w:val="en-US" w:eastAsia="zh-CN"/>
        </w:rPr>
        <w:t>8</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rPr>
          <w:rFonts w:hint="eastAsia"/>
          <w:lang w:val="en-US" w:eastAsia="zh-CN"/>
        </w:rPr>
        <w:t>1</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rPr>
          <w:rFonts w:hint="eastAsia"/>
          <w:lang w:val="en-US" w:eastAsia="zh-CN"/>
        </w:rPr>
        <w:t>1</w:t>
      </w:r>
      <w:r>
        <w:fldChar w:fldCharType="end"/>
      </w:r>
      <w:r>
        <w:rPr>
          <w:rFonts w:hint="eastAsia"/>
          <w:lang w:val="en-US" w:eastAsia="zh-CN"/>
        </w:rPr>
        <w:t>9</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rPr>
          <w:rFonts w:hint="eastAsia"/>
          <w:lang w:val="en-US" w:eastAsia="zh-CN"/>
        </w:rPr>
        <w:t>2</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rPr>
          <w:rFonts w:hint="eastAsia"/>
          <w:lang w:val="en-US" w:eastAsia="zh-CN"/>
        </w:rPr>
        <w:t>2</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3</w:t>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23</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3</w:t>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 xml:space="preserve">第一部分  </w:t>
      </w:r>
      <w:r>
        <w:rPr>
          <w:rFonts w:hint="eastAsia" w:ascii="方正小标宋_GBK" w:hAnsi="方正小标宋_GBK" w:eastAsia="方正小标宋_GBK" w:cs="方正小标宋_GBK"/>
          <w:color w:val="000000"/>
          <w:sz w:val="72"/>
          <w:lang w:val="en-US" w:eastAsia="zh-CN"/>
        </w:rPr>
        <w:t>单位</w:t>
      </w:r>
      <w:r>
        <w:rPr>
          <w:rFonts w:ascii="方正小标宋_GBK" w:hAnsi="方正小标宋_GBK" w:eastAsia="方正小标宋_GBK" w:cs="方正小标宋_GBK"/>
          <w:color w:val="000000"/>
          <w:sz w:val="72"/>
        </w:rPr>
        <w:t>预算</w:t>
      </w:r>
    </w:p>
    <w:p>
      <w:pPr>
        <w:spacing w:before="0" w:after="0" w:line="240" w:lineRule="auto"/>
        <w:ind w:firstLine="0"/>
        <w:jc w:val="both"/>
        <w:outlineLvl w:val="0"/>
      </w:pPr>
      <w:r>
        <w:rPr>
          <w:rFonts w:ascii="方正书宋_GBK" w:hAnsi="方正书宋_GBK" w:eastAsia="方正书宋_GBK" w:cs="方正书宋_GBK"/>
          <w:color w:val="FFFFFF"/>
          <w:sz w:val="21"/>
        </w:rPr>
        <w:t>第一销合</w:t>
      </w:r>
      <w:r>
        <w:rPr>
          <w:rFonts w:ascii="方正小标宋_GBK" w:hAnsi="方正小标宋_GBK" w:eastAsia="方正小标宋_GBK" w:cs="方正小标宋_GBK"/>
          <w:color w:val="000000"/>
          <w:sz w:val="44"/>
        </w:rPr>
        <w:t xml:space="preserve"> </w:t>
      </w:r>
      <w:bookmarkStart w:id="0" w:name="_Toc_4_4_0000000019"/>
      <w:r>
        <w:rPr>
          <w:rFonts w:ascii="方正小标宋_GBK" w:hAnsi="方正小标宋_GBK" w:eastAsia="方正小标宋_GBK" w:cs="方正小标宋_GBK"/>
          <w:b w:val="0"/>
          <w:color w:val="000000"/>
          <w:sz w:val="44"/>
        </w:rPr>
        <w:t>一、霸州市供销合作社联合社本级收支预算</w:t>
      </w:r>
      <w:bookmarkEnd w:id="0"/>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907001霸州市供销合作社联合社本级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735.71</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273.37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r>
              <w:t>462.34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735.71</w:t>
            </w:r>
          </w:p>
        </w:tc>
        <w:tc>
          <w:tcPr>
            <w:tcW w:w="4535" w:type="dxa"/>
            <w:vAlign w:val="center"/>
          </w:tcPr>
          <w:p>
            <w:pPr>
              <w:pStyle w:val="18"/>
            </w:pPr>
            <w:r>
              <w:t>本年支出合计</w:t>
            </w:r>
          </w:p>
        </w:tc>
        <w:tc>
          <w:tcPr>
            <w:tcW w:w="2126" w:type="dxa"/>
            <w:vAlign w:val="center"/>
          </w:tcPr>
          <w:p>
            <w:pPr>
              <w:pStyle w:val="19"/>
            </w:pPr>
            <w:r>
              <w:t>735.71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735.71</w:t>
            </w:r>
          </w:p>
        </w:tc>
        <w:tc>
          <w:tcPr>
            <w:tcW w:w="4535" w:type="dxa"/>
            <w:vAlign w:val="center"/>
          </w:tcPr>
          <w:p>
            <w:pPr>
              <w:pStyle w:val="18"/>
            </w:pPr>
            <w:r>
              <w:t>支出总计</w:t>
            </w:r>
          </w:p>
        </w:tc>
        <w:tc>
          <w:tcPr>
            <w:tcW w:w="2126" w:type="dxa"/>
            <w:vAlign w:val="center"/>
          </w:tcPr>
          <w:p>
            <w:pPr>
              <w:pStyle w:val="19"/>
            </w:pPr>
            <w:r>
              <w:t>735.71</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907001霸州市供销合作社联合社本级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735.71</w:t>
            </w:r>
          </w:p>
        </w:tc>
        <w:tc>
          <w:tcPr>
            <w:tcW w:w="1134" w:type="dxa"/>
            <w:vAlign w:val="center"/>
          </w:tcPr>
          <w:p>
            <w:pPr>
              <w:pStyle w:val="19"/>
            </w:pPr>
            <w:r>
              <w:t>735.71</w:t>
            </w:r>
          </w:p>
        </w:tc>
        <w:tc>
          <w:tcPr>
            <w:tcW w:w="1134" w:type="dxa"/>
            <w:vAlign w:val="center"/>
          </w:tcPr>
          <w:p>
            <w:pPr>
              <w:pStyle w:val="19"/>
            </w:pPr>
            <w:r>
              <w:t>735.71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273.37</w:t>
            </w:r>
          </w:p>
        </w:tc>
        <w:tc>
          <w:tcPr>
            <w:tcW w:w="1134" w:type="dxa"/>
            <w:vAlign w:val="center"/>
          </w:tcPr>
          <w:p>
            <w:pPr>
              <w:pStyle w:val="15"/>
            </w:pPr>
            <w:r>
              <w:t>273.37</w:t>
            </w:r>
          </w:p>
        </w:tc>
        <w:tc>
          <w:tcPr>
            <w:tcW w:w="1134" w:type="dxa"/>
            <w:vAlign w:val="center"/>
          </w:tcPr>
          <w:p>
            <w:pPr>
              <w:pStyle w:val="15"/>
            </w:pPr>
            <w:r>
              <w:t>273.37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273.37</w:t>
            </w:r>
          </w:p>
        </w:tc>
        <w:tc>
          <w:tcPr>
            <w:tcW w:w="1134" w:type="dxa"/>
            <w:vAlign w:val="center"/>
          </w:tcPr>
          <w:p>
            <w:pPr>
              <w:pStyle w:val="15"/>
            </w:pPr>
            <w:r>
              <w:t>273.37</w:t>
            </w:r>
          </w:p>
        </w:tc>
        <w:tc>
          <w:tcPr>
            <w:tcW w:w="1134" w:type="dxa"/>
            <w:vAlign w:val="center"/>
          </w:tcPr>
          <w:p>
            <w:pPr>
              <w:pStyle w:val="15"/>
            </w:pPr>
            <w:r>
              <w:t>273.37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273.37</w:t>
            </w:r>
          </w:p>
        </w:tc>
        <w:tc>
          <w:tcPr>
            <w:tcW w:w="1134" w:type="dxa"/>
            <w:vAlign w:val="center"/>
          </w:tcPr>
          <w:p>
            <w:pPr>
              <w:pStyle w:val="15"/>
            </w:pPr>
            <w:r>
              <w:t>273.37</w:t>
            </w:r>
          </w:p>
        </w:tc>
        <w:tc>
          <w:tcPr>
            <w:tcW w:w="1134" w:type="dxa"/>
            <w:vAlign w:val="center"/>
          </w:tcPr>
          <w:p>
            <w:pPr>
              <w:pStyle w:val="15"/>
            </w:pPr>
            <w:r>
              <w:t>273.37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216</w:t>
            </w:r>
          </w:p>
        </w:tc>
        <w:tc>
          <w:tcPr>
            <w:tcW w:w="1559" w:type="dxa"/>
            <w:vAlign w:val="center"/>
          </w:tcPr>
          <w:p>
            <w:pPr>
              <w:pStyle w:val="16"/>
            </w:pPr>
            <w:r>
              <w:t>商业服务业等支出</w:t>
            </w:r>
          </w:p>
        </w:tc>
        <w:tc>
          <w:tcPr>
            <w:tcW w:w="1134" w:type="dxa"/>
            <w:vAlign w:val="center"/>
          </w:tcPr>
          <w:p>
            <w:pPr>
              <w:pStyle w:val="15"/>
            </w:pPr>
            <w:r>
              <w:t>462.34</w:t>
            </w:r>
          </w:p>
        </w:tc>
        <w:tc>
          <w:tcPr>
            <w:tcW w:w="1134" w:type="dxa"/>
            <w:vAlign w:val="center"/>
          </w:tcPr>
          <w:p>
            <w:pPr>
              <w:pStyle w:val="15"/>
            </w:pPr>
            <w:r>
              <w:t>462.34</w:t>
            </w:r>
          </w:p>
        </w:tc>
        <w:tc>
          <w:tcPr>
            <w:tcW w:w="1134" w:type="dxa"/>
            <w:vAlign w:val="center"/>
          </w:tcPr>
          <w:p>
            <w:pPr>
              <w:pStyle w:val="15"/>
            </w:pPr>
            <w:r>
              <w:t>462.34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21602</w:t>
            </w:r>
          </w:p>
        </w:tc>
        <w:tc>
          <w:tcPr>
            <w:tcW w:w="1559" w:type="dxa"/>
            <w:vAlign w:val="center"/>
          </w:tcPr>
          <w:p>
            <w:pPr>
              <w:pStyle w:val="16"/>
            </w:pPr>
            <w:r>
              <w:t>商业流通事务</w:t>
            </w:r>
          </w:p>
        </w:tc>
        <w:tc>
          <w:tcPr>
            <w:tcW w:w="1134" w:type="dxa"/>
            <w:vAlign w:val="center"/>
          </w:tcPr>
          <w:p>
            <w:pPr>
              <w:pStyle w:val="15"/>
            </w:pPr>
            <w:r>
              <w:t>462.34</w:t>
            </w:r>
          </w:p>
        </w:tc>
        <w:tc>
          <w:tcPr>
            <w:tcW w:w="1134" w:type="dxa"/>
            <w:vAlign w:val="center"/>
          </w:tcPr>
          <w:p>
            <w:pPr>
              <w:pStyle w:val="15"/>
            </w:pPr>
            <w:r>
              <w:t>462.34</w:t>
            </w:r>
          </w:p>
        </w:tc>
        <w:tc>
          <w:tcPr>
            <w:tcW w:w="1134" w:type="dxa"/>
            <w:vAlign w:val="center"/>
          </w:tcPr>
          <w:p>
            <w:pPr>
              <w:pStyle w:val="15"/>
            </w:pPr>
            <w:r>
              <w:t>462.34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2160299</w:t>
            </w:r>
          </w:p>
        </w:tc>
        <w:tc>
          <w:tcPr>
            <w:tcW w:w="1559" w:type="dxa"/>
            <w:vAlign w:val="center"/>
          </w:tcPr>
          <w:p>
            <w:pPr>
              <w:pStyle w:val="16"/>
            </w:pPr>
            <w:r>
              <w:t>其他商业流通事务支出</w:t>
            </w:r>
          </w:p>
        </w:tc>
        <w:tc>
          <w:tcPr>
            <w:tcW w:w="1134" w:type="dxa"/>
            <w:vAlign w:val="center"/>
          </w:tcPr>
          <w:p>
            <w:pPr>
              <w:pStyle w:val="15"/>
            </w:pPr>
            <w:r>
              <w:t>462.34</w:t>
            </w:r>
          </w:p>
        </w:tc>
        <w:tc>
          <w:tcPr>
            <w:tcW w:w="1134" w:type="dxa"/>
            <w:vAlign w:val="center"/>
          </w:tcPr>
          <w:p>
            <w:pPr>
              <w:pStyle w:val="15"/>
            </w:pPr>
            <w:r>
              <w:t>462.34</w:t>
            </w:r>
          </w:p>
        </w:tc>
        <w:tc>
          <w:tcPr>
            <w:tcW w:w="1134" w:type="dxa"/>
            <w:vAlign w:val="center"/>
          </w:tcPr>
          <w:p>
            <w:pPr>
              <w:pStyle w:val="15"/>
            </w:pPr>
            <w:r>
              <w:t>462.34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907001霸州市供销合作社联合社本级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735.71</w:t>
            </w:r>
          </w:p>
        </w:tc>
        <w:tc>
          <w:tcPr>
            <w:tcW w:w="1361" w:type="dxa"/>
            <w:vAlign w:val="center"/>
          </w:tcPr>
          <w:p>
            <w:pPr>
              <w:pStyle w:val="19"/>
            </w:pPr>
            <w:r>
              <w:t>596.01</w:t>
            </w:r>
          </w:p>
        </w:tc>
        <w:tc>
          <w:tcPr>
            <w:tcW w:w="1361" w:type="dxa"/>
            <w:vAlign w:val="center"/>
          </w:tcPr>
          <w:p>
            <w:pPr>
              <w:pStyle w:val="19"/>
            </w:pPr>
            <w:r>
              <w:t>139.70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273.37</w:t>
            </w:r>
          </w:p>
        </w:tc>
        <w:tc>
          <w:tcPr>
            <w:tcW w:w="1361" w:type="dxa"/>
            <w:vAlign w:val="center"/>
          </w:tcPr>
          <w:p>
            <w:pPr>
              <w:pStyle w:val="15"/>
            </w:pPr>
            <w:r>
              <w:t>273.37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273.37</w:t>
            </w:r>
          </w:p>
        </w:tc>
        <w:tc>
          <w:tcPr>
            <w:tcW w:w="1361" w:type="dxa"/>
            <w:vAlign w:val="center"/>
          </w:tcPr>
          <w:p>
            <w:pPr>
              <w:pStyle w:val="15"/>
            </w:pPr>
            <w:r>
              <w:t>273.37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273.37</w:t>
            </w:r>
          </w:p>
        </w:tc>
        <w:tc>
          <w:tcPr>
            <w:tcW w:w="1361" w:type="dxa"/>
            <w:vAlign w:val="center"/>
          </w:tcPr>
          <w:p>
            <w:pPr>
              <w:pStyle w:val="15"/>
            </w:pPr>
            <w:r>
              <w:t>273.37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216</w:t>
            </w:r>
          </w:p>
        </w:tc>
        <w:tc>
          <w:tcPr>
            <w:tcW w:w="4535" w:type="dxa"/>
            <w:vAlign w:val="center"/>
          </w:tcPr>
          <w:p>
            <w:pPr>
              <w:pStyle w:val="16"/>
            </w:pPr>
            <w:r>
              <w:t>商业服务业等支出</w:t>
            </w:r>
          </w:p>
        </w:tc>
        <w:tc>
          <w:tcPr>
            <w:tcW w:w="1361" w:type="dxa"/>
            <w:vAlign w:val="center"/>
          </w:tcPr>
          <w:p>
            <w:pPr>
              <w:pStyle w:val="15"/>
            </w:pPr>
            <w:r>
              <w:t>462.34</w:t>
            </w:r>
          </w:p>
        </w:tc>
        <w:tc>
          <w:tcPr>
            <w:tcW w:w="1361" w:type="dxa"/>
            <w:vAlign w:val="center"/>
          </w:tcPr>
          <w:p>
            <w:pPr>
              <w:pStyle w:val="15"/>
            </w:pPr>
            <w:r>
              <w:t>322.64</w:t>
            </w:r>
          </w:p>
        </w:tc>
        <w:tc>
          <w:tcPr>
            <w:tcW w:w="1361" w:type="dxa"/>
            <w:vAlign w:val="center"/>
          </w:tcPr>
          <w:p>
            <w:pPr>
              <w:pStyle w:val="15"/>
            </w:pPr>
            <w:r>
              <w:t>139.70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21602</w:t>
            </w:r>
          </w:p>
        </w:tc>
        <w:tc>
          <w:tcPr>
            <w:tcW w:w="4535" w:type="dxa"/>
            <w:vAlign w:val="center"/>
          </w:tcPr>
          <w:p>
            <w:pPr>
              <w:pStyle w:val="16"/>
            </w:pPr>
            <w:r>
              <w:t>商业流通事务</w:t>
            </w:r>
          </w:p>
        </w:tc>
        <w:tc>
          <w:tcPr>
            <w:tcW w:w="1361" w:type="dxa"/>
            <w:vAlign w:val="center"/>
          </w:tcPr>
          <w:p>
            <w:pPr>
              <w:pStyle w:val="15"/>
            </w:pPr>
            <w:r>
              <w:t>462.34</w:t>
            </w:r>
          </w:p>
        </w:tc>
        <w:tc>
          <w:tcPr>
            <w:tcW w:w="1361" w:type="dxa"/>
            <w:vAlign w:val="center"/>
          </w:tcPr>
          <w:p>
            <w:pPr>
              <w:pStyle w:val="15"/>
            </w:pPr>
            <w:r>
              <w:t>322.64</w:t>
            </w:r>
          </w:p>
        </w:tc>
        <w:tc>
          <w:tcPr>
            <w:tcW w:w="1361" w:type="dxa"/>
            <w:vAlign w:val="center"/>
          </w:tcPr>
          <w:p>
            <w:pPr>
              <w:pStyle w:val="15"/>
            </w:pPr>
            <w:r>
              <w:t>139.70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2160299</w:t>
            </w:r>
          </w:p>
        </w:tc>
        <w:tc>
          <w:tcPr>
            <w:tcW w:w="4535" w:type="dxa"/>
            <w:vAlign w:val="center"/>
          </w:tcPr>
          <w:p>
            <w:pPr>
              <w:pStyle w:val="16"/>
            </w:pPr>
            <w:r>
              <w:t>其他商业流通事务支出</w:t>
            </w:r>
          </w:p>
        </w:tc>
        <w:tc>
          <w:tcPr>
            <w:tcW w:w="1361" w:type="dxa"/>
            <w:vAlign w:val="center"/>
          </w:tcPr>
          <w:p>
            <w:pPr>
              <w:pStyle w:val="15"/>
            </w:pPr>
            <w:r>
              <w:t>462.34</w:t>
            </w:r>
          </w:p>
        </w:tc>
        <w:tc>
          <w:tcPr>
            <w:tcW w:w="1361" w:type="dxa"/>
            <w:vAlign w:val="center"/>
          </w:tcPr>
          <w:p>
            <w:pPr>
              <w:pStyle w:val="15"/>
            </w:pPr>
            <w:r>
              <w:t>322.64</w:t>
            </w:r>
          </w:p>
        </w:tc>
        <w:tc>
          <w:tcPr>
            <w:tcW w:w="1361" w:type="dxa"/>
            <w:vAlign w:val="center"/>
          </w:tcPr>
          <w:p>
            <w:pPr>
              <w:pStyle w:val="15"/>
            </w:pPr>
            <w:r>
              <w:t>139.70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907001霸州市供销合作社联合社本级</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735.71</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273.37</w:t>
            </w:r>
          </w:p>
        </w:tc>
        <w:tc>
          <w:tcPr>
            <w:tcW w:w="1474" w:type="dxa"/>
            <w:vAlign w:val="center"/>
          </w:tcPr>
          <w:p>
            <w:pPr>
              <w:pStyle w:val="15"/>
            </w:pPr>
            <w:r>
              <w:t>273.37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r>
              <w:t>462.34</w:t>
            </w:r>
          </w:p>
        </w:tc>
        <w:tc>
          <w:tcPr>
            <w:tcW w:w="1474" w:type="dxa"/>
            <w:vAlign w:val="center"/>
          </w:tcPr>
          <w:p>
            <w:pPr>
              <w:pStyle w:val="15"/>
            </w:pPr>
            <w:r>
              <w:t>462.34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735.71</w:t>
            </w:r>
          </w:p>
        </w:tc>
        <w:tc>
          <w:tcPr>
            <w:tcW w:w="3402" w:type="dxa"/>
            <w:vAlign w:val="center"/>
          </w:tcPr>
          <w:p>
            <w:pPr>
              <w:pStyle w:val="18"/>
            </w:pPr>
            <w:r>
              <w:t>本年支出合计</w:t>
            </w:r>
          </w:p>
        </w:tc>
        <w:tc>
          <w:tcPr>
            <w:tcW w:w="1474" w:type="dxa"/>
            <w:vAlign w:val="center"/>
          </w:tcPr>
          <w:p>
            <w:pPr>
              <w:pStyle w:val="19"/>
            </w:pPr>
            <w:r>
              <w:t>735.71</w:t>
            </w:r>
          </w:p>
        </w:tc>
        <w:tc>
          <w:tcPr>
            <w:tcW w:w="1474" w:type="dxa"/>
            <w:vAlign w:val="center"/>
          </w:tcPr>
          <w:p>
            <w:pPr>
              <w:pStyle w:val="19"/>
            </w:pPr>
            <w:r>
              <w:t>735.71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735.71</w:t>
            </w:r>
          </w:p>
        </w:tc>
        <w:tc>
          <w:tcPr>
            <w:tcW w:w="3402" w:type="dxa"/>
            <w:vAlign w:val="center"/>
          </w:tcPr>
          <w:p>
            <w:pPr>
              <w:pStyle w:val="18"/>
            </w:pPr>
            <w:r>
              <w:t>支出总计</w:t>
            </w:r>
          </w:p>
        </w:tc>
        <w:tc>
          <w:tcPr>
            <w:tcW w:w="1474" w:type="dxa"/>
            <w:vAlign w:val="center"/>
          </w:tcPr>
          <w:p>
            <w:pPr>
              <w:pStyle w:val="19"/>
            </w:pPr>
            <w:r>
              <w:t>735.71</w:t>
            </w:r>
          </w:p>
        </w:tc>
        <w:tc>
          <w:tcPr>
            <w:tcW w:w="1474" w:type="dxa"/>
            <w:vAlign w:val="center"/>
          </w:tcPr>
          <w:p>
            <w:pPr>
              <w:pStyle w:val="19"/>
            </w:pPr>
            <w:r>
              <w:t>735.71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907001霸州市供销合作社联合社本级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735.71</w:t>
            </w:r>
          </w:p>
        </w:tc>
        <w:tc>
          <w:tcPr>
            <w:tcW w:w="2551" w:type="dxa"/>
            <w:vAlign w:val="center"/>
          </w:tcPr>
          <w:p>
            <w:pPr>
              <w:pStyle w:val="19"/>
            </w:pPr>
            <w:r>
              <w:t>596.01</w:t>
            </w:r>
          </w:p>
        </w:tc>
        <w:tc>
          <w:tcPr>
            <w:tcW w:w="2551" w:type="dxa"/>
            <w:vAlign w:val="center"/>
          </w:tcPr>
          <w:p>
            <w:pPr>
              <w:pStyle w:val="19"/>
            </w:pPr>
            <w:r>
              <w:t>139.70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273.37</w:t>
            </w:r>
          </w:p>
        </w:tc>
        <w:tc>
          <w:tcPr>
            <w:tcW w:w="2551" w:type="dxa"/>
            <w:vAlign w:val="center"/>
          </w:tcPr>
          <w:p>
            <w:pPr>
              <w:pStyle w:val="15"/>
            </w:pPr>
            <w:r>
              <w:t>273.37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273.37</w:t>
            </w:r>
          </w:p>
        </w:tc>
        <w:tc>
          <w:tcPr>
            <w:tcW w:w="2551" w:type="dxa"/>
            <w:vAlign w:val="center"/>
          </w:tcPr>
          <w:p>
            <w:pPr>
              <w:pStyle w:val="15"/>
            </w:pPr>
            <w:r>
              <w:t>273.37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273.37</w:t>
            </w:r>
          </w:p>
        </w:tc>
        <w:tc>
          <w:tcPr>
            <w:tcW w:w="2551" w:type="dxa"/>
            <w:vAlign w:val="center"/>
          </w:tcPr>
          <w:p>
            <w:pPr>
              <w:pStyle w:val="15"/>
            </w:pPr>
            <w:r>
              <w:t>273.37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216</w:t>
            </w:r>
          </w:p>
        </w:tc>
        <w:tc>
          <w:tcPr>
            <w:tcW w:w="4535" w:type="dxa"/>
            <w:vAlign w:val="center"/>
          </w:tcPr>
          <w:p>
            <w:pPr>
              <w:pStyle w:val="16"/>
            </w:pPr>
            <w:r>
              <w:t>商业服务业等支出</w:t>
            </w:r>
          </w:p>
        </w:tc>
        <w:tc>
          <w:tcPr>
            <w:tcW w:w="2551" w:type="dxa"/>
            <w:vAlign w:val="center"/>
          </w:tcPr>
          <w:p>
            <w:pPr>
              <w:pStyle w:val="15"/>
            </w:pPr>
            <w:r>
              <w:t>462.34</w:t>
            </w:r>
          </w:p>
        </w:tc>
        <w:tc>
          <w:tcPr>
            <w:tcW w:w="2551" w:type="dxa"/>
            <w:vAlign w:val="center"/>
          </w:tcPr>
          <w:p>
            <w:pPr>
              <w:pStyle w:val="15"/>
            </w:pPr>
            <w:r>
              <w:t>322.64</w:t>
            </w:r>
          </w:p>
        </w:tc>
        <w:tc>
          <w:tcPr>
            <w:tcW w:w="2551" w:type="dxa"/>
            <w:vAlign w:val="center"/>
          </w:tcPr>
          <w:p>
            <w:pPr>
              <w:pStyle w:val="15"/>
            </w:pPr>
            <w:r>
              <w:t>139.70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21602</w:t>
            </w:r>
          </w:p>
        </w:tc>
        <w:tc>
          <w:tcPr>
            <w:tcW w:w="4535" w:type="dxa"/>
            <w:vAlign w:val="center"/>
          </w:tcPr>
          <w:p>
            <w:pPr>
              <w:pStyle w:val="16"/>
            </w:pPr>
            <w:r>
              <w:t>商业流通事务</w:t>
            </w:r>
          </w:p>
        </w:tc>
        <w:tc>
          <w:tcPr>
            <w:tcW w:w="2551" w:type="dxa"/>
            <w:vAlign w:val="center"/>
          </w:tcPr>
          <w:p>
            <w:pPr>
              <w:pStyle w:val="15"/>
            </w:pPr>
            <w:r>
              <w:t>462.34</w:t>
            </w:r>
          </w:p>
        </w:tc>
        <w:tc>
          <w:tcPr>
            <w:tcW w:w="2551" w:type="dxa"/>
            <w:vAlign w:val="center"/>
          </w:tcPr>
          <w:p>
            <w:pPr>
              <w:pStyle w:val="15"/>
            </w:pPr>
            <w:r>
              <w:t>322.64</w:t>
            </w:r>
          </w:p>
        </w:tc>
        <w:tc>
          <w:tcPr>
            <w:tcW w:w="2551" w:type="dxa"/>
            <w:vAlign w:val="center"/>
          </w:tcPr>
          <w:p>
            <w:pPr>
              <w:pStyle w:val="15"/>
            </w:pPr>
            <w:r>
              <w:t>139.70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2160299</w:t>
            </w:r>
          </w:p>
        </w:tc>
        <w:tc>
          <w:tcPr>
            <w:tcW w:w="4535" w:type="dxa"/>
            <w:vAlign w:val="center"/>
          </w:tcPr>
          <w:p>
            <w:pPr>
              <w:pStyle w:val="16"/>
            </w:pPr>
            <w:r>
              <w:t>其他商业流通事务支出</w:t>
            </w:r>
          </w:p>
        </w:tc>
        <w:tc>
          <w:tcPr>
            <w:tcW w:w="2551" w:type="dxa"/>
            <w:vAlign w:val="center"/>
          </w:tcPr>
          <w:p>
            <w:pPr>
              <w:pStyle w:val="15"/>
            </w:pPr>
            <w:r>
              <w:t>462.34</w:t>
            </w:r>
          </w:p>
        </w:tc>
        <w:tc>
          <w:tcPr>
            <w:tcW w:w="2551" w:type="dxa"/>
            <w:vAlign w:val="center"/>
          </w:tcPr>
          <w:p>
            <w:pPr>
              <w:pStyle w:val="15"/>
            </w:pPr>
            <w:r>
              <w:t>322.64</w:t>
            </w:r>
          </w:p>
        </w:tc>
        <w:tc>
          <w:tcPr>
            <w:tcW w:w="2551" w:type="dxa"/>
            <w:vAlign w:val="center"/>
          </w:tcPr>
          <w:p>
            <w:pPr>
              <w:pStyle w:val="15"/>
            </w:pPr>
            <w:r>
              <w:t>139.70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907001霸州市供销合作社联合社本级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596.01</w:t>
            </w:r>
          </w:p>
        </w:tc>
        <w:tc>
          <w:tcPr>
            <w:tcW w:w="2551" w:type="dxa"/>
            <w:vAlign w:val="center"/>
          </w:tcPr>
          <w:p>
            <w:pPr>
              <w:pStyle w:val="19"/>
            </w:pPr>
            <w:r>
              <w:t>596.01</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322.64</w:t>
            </w:r>
          </w:p>
        </w:tc>
        <w:tc>
          <w:tcPr>
            <w:tcW w:w="2551" w:type="dxa"/>
            <w:vAlign w:val="center"/>
          </w:tcPr>
          <w:p>
            <w:pPr>
              <w:pStyle w:val="15"/>
            </w:pPr>
            <w:r>
              <w:t>322.64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322.64</w:t>
            </w:r>
          </w:p>
        </w:tc>
        <w:tc>
          <w:tcPr>
            <w:tcW w:w="2551" w:type="dxa"/>
            <w:vAlign w:val="center"/>
          </w:tcPr>
          <w:p>
            <w:pPr>
              <w:pStyle w:val="15"/>
            </w:pPr>
            <w:r>
              <w:t>322.64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273.37</w:t>
            </w:r>
          </w:p>
        </w:tc>
        <w:tc>
          <w:tcPr>
            <w:tcW w:w="2551" w:type="dxa"/>
            <w:vAlign w:val="center"/>
          </w:tcPr>
          <w:p>
            <w:pPr>
              <w:pStyle w:val="15"/>
            </w:pPr>
            <w:r>
              <w:t>273.37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273.37</w:t>
            </w:r>
          </w:p>
        </w:tc>
        <w:tc>
          <w:tcPr>
            <w:tcW w:w="2551" w:type="dxa"/>
            <w:vAlign w:val="center"/>
          </w:tcPr>
          <w:p>
            <w:pPr>
              <w:pStyle w:val="15"/>
            </w:pPr>
            <w:r>
              <w:t>273.37</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907001霸州市供销合作社联合社本级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907001霸州市供销合作社联合社本级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907001霸州市供销合作社联合社本级</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both"/>
        <w:outlineLvl w:val="4"/>
      </w:pPr>
      <w:r>
        <w:rPr>
          <w:rFonts w:ascii="方正小标宋_GBK" w:hAnsi="方正小标宋_GBK" w:eastAsia="方正小标宋_GBK" w:cs="方正小标宋_GBK"/>
          <w:b w:val="0"/>
          <w:color w:val="000000"/>
          <w:sz w:val="44"/>
        </w:rPr>
        <w:t>霸州市供销合作社联合社本级2023年单位预算信息公开情况说明</w:t>
      </w:r>
    </w:p>
    <w:p>
      <w:pPr>
        <w:spacing w:before="0" w:after="0" w:line="500" w:lineRule="exact"/>
        <w:ind w:firstLine="560"/>
        <w:jc w:val="both"/>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按照《预算法》、《地方预决算公开操作规程》和《关于进一步推进预算公开工作的实施意见》规定，现将霸州市供销合作社联合社本级2023年单位预算公开如下：</w:t>
      </w:r>
    </w:p>
    <w:p>
      <w:pPr>
        <w:spacing w:before="10" w:after="10" w:line="240" w:lineRule="auto"/>
        <w:ind w:firstLine="640"/>
        <w:jc w:val="both"/>
        <w:outlineLvl w:val="0"/>
      </w:pPr>
      <w:r>
        <w:rPr>
          <w:rFonts w:ascii="黑体" w:hAnsi="黑体" w:eastAsia="黑体" w:cs="黑体"/>
          <w:color w:val="000000"/>
          <w:sz w:val="32"/>
        </w:rPr>
        <w:t>一、单位职责及机构设置情况</w:t>
      </w:r>
    </w:p>
    <w:p>
      <w:pPr>
        <w:spacing w:before="0" w:after="0" w:line="240" w:lineRule="auto"/>
        <w:ind w:firstLine="640"/>
        <w:jc w:val="both"/>
        <w:outlineLvl w:val="9"/>
      </w:pPr>
      <w:r>
        <w:rPr>
          <w:rFonts w:ascii="方正楷体_GBK" w:hAnsi="方正楷体_GBK" w:eastAsia="方正楷体_GBK" w:cs="方正楷体_GBK"/>
          <w:b/>
          <w:color w:val="000000"/>
          <w:sz w:val="32"/>
        </w:rPr>
        <w:t>单位职责：</w:t>
      </w:r>
    </w:p>
    <w:p>
      <w:pPr>
        <w:pStyle w:val="21"/>
        <w:jc w:val="both"/>
      </w:pPr>
      <w:r>
        <w:t>根据《霸州市供销合作社联合社职能配置、内设机构和人员编制规定》，霸州市供销合作社的主要职责、内设机构是：</w:t>
      </w:r>
    </w:p>
    <w:p>
      <w:pPr>
        <w:pStyle w:val="21"/>
        <w:jc w:val="both"/>
      </w:pPr>
      <w:r>
        <w:t>一、供销流通管理——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w:t>
      </w:r>
    </w:p>
    <w:p>
      <w:pPr>
        <w:pStyle w:val="21"/>
        <w:jc w:val="both"/>
      </w:pPr>
      <w:r>
        <w:t>二、服务三农事务管理——强力推进和形成服务现代农业、服务农村生产生活、服务农业新型经营主体三大板块的服务格局。</w:t>
      </w:r>
    </w:p>
    <w:p>
      <w:pPr>
        <w:pStyle w:val="21"/>
        <w:jc w:val="both"/>
      </w:pPr>
      <w:r>
        <w:t>三、物资储备管理——根据市防汛抗旱指挥部要求，负责防汛抗旱、抢险救灾有关物资的储备、管理、供应和调拨的相关工作。储备488吨合格食盐，保障全市2个月食盐供应。</w:t>
      </w:r>
    </w:p>
    <w:p>
      <w:pPr>
        <w:pStyle w:val="21"/>
        <w:jc w:val="both"/>
      </w:pPr>
      <w:r>
        <w:t>四、供销合作政务管理——完成市供销系统综合业务指标。</w:t>
      </w:r>
    </w:p>
    <w:p>
      <w:pPr>
        <w:pStyle w:val="21"/>
        <w:jc w:val="both"/>
      </w:pPr>
      <w:r>
        <w:t>霸州市供销社各科室职责</w:t>
      </w:r>
    </w:p>
    <w:p>
      <w:pPr>
        <w:pStyle w:val="21"/>
        <w:jc w:val="both"/>
      </w:pPr>
      <w:r>
        <w:t>（一）办公室</w:t>
      </w:r>
    </w:p>
    <w:p>
      <w:pPr>
        <w:pStyle w:val="21"/>
        <w:jc w:val="both"/>
      </w:pPr>
      <w:r>
        <w:t>负责机关的日常工作管理，保障各项规章制度的落实；负责机关来电处理、政务信息、机要、档案、保密、公章、报刊订发和机关后勤、车辆管理等工作。 </w:t>
      </w:r>
    </w:p>
    <w:p>
      <w:pPr>
        <w:pStyle w:val="21"/>
        <w:jc w:val="both"/>
      </w:pPr>
      <w:r>
        <w:t>（二）人教科</w:t>
      </w:r>
    </w:p>
    <w:p>
      <w:pPr>
        <w:pStyle w:val="21"/>
        <w:jc w:val="both"/>
      </w:pPr>
      <w:r>
        <w:t>负责全系统班子考察、调整和任免工作、劳动人事改革、工资改革和调整、养老保险和医疗保险征缴上交、离休退休老干部服务、人事调动、团委、武装部、复转军人和家属的安置等工作。</w:t>
      </w:r>
    </w:p>
    <w:p>
      <w:pPr>
        <w:pStyle w:val="21"/>
        <w:jc w:val="both"/>
      </w:pPr>
      <w:r>
        <w:t>（三）合作指导科</w:t>
      </w:r>
    </w:p>
    <w:p>
      <w:pPr>
        <w:pStyle w:val="21"/>
        <w:jc w:val="both"/>
      </w:pPr>
      <w:r>
        <w:t>负责指导、协调服务“三农”工作，指导所属企业各项业务、全系统项目库基础建设和专项资金的申报、指导项目单位用好专项资金等工作。</w:t>
      </w:r>
    </w:p>
    <w:p>
      <w:pPr>
        <w:pStyle w:val="21"/>
        <w:jc w:val="both"/>
      </w:pPr>
      <w:r>
        <w:t>（四）财务科</w:t>
      </w:r>
    </w:p>
    <w:p>
      <w:pPr>
        <w:pStyle w:val="21"/>
        <w:jc w:val="both"/>
      </w:pPr>
      <w:r>
        <w:t>执行财务、会计、税务、信贷的法律法规和规章制度，负责各项资金管理，合理使用资金，严格按规定办理财务支出。</w:t>
      </w:r>
    </w:p>
    <w:p>
      <w:pPr>
        <w:pStyle w:val="21"/>
        <w:jc w:val="both"/>
      </w:pPr>
      <w:r>
        <w:t>（五）党组办公室</w:t>
      </w:r>
    </w:p>
    <w:p>
      <w:pPr>
        <w:pStyle w:val="21"/>
        <w:jc w:val="both"/>
      </w:pPr>
      <w:r>
        <w:t>负责机关党的路线、方针、政策的宣传教育，组织党员学习马克思列宁主义、毛泽东思想、中国特色社会主义理论体系和习总书记系列重要讲话； 做好机关党务、共青团、妇女、机关干部考核和民主评议等工作。</w:t>
      </w:r>
    </w:p>
    <w:p>
      <w:pPr>
        <w:pStyle w:val="21"/>
        <w:jc w:val="both"/>
      </w:pPr>
      <w:r>
        <w:t>（六）审计科</w:t>
      </w:r>
    </w:p>
    <w:p>
      <w:pPr>
        <w:pStyle w:val="21"/>
        <w:jc w:val="both"/>
      </w:pPr>
      <w:r>
        <w:t>负责认真贯彻国家有关审计政策、法规制度；负责所属企业的各项审计工作，针对供销社经营管理中的重大问题进行审计调查，协助有关单位检查、处理违法违纪行为。</w:t>
      </w:r>
      <w:r>
        <w:tab/>
      </w:r>
    </w:p>
    <w:p>
      <w:pPr>
        <w:pStyle w:val="21"/>
        <w:jc w:val="both"/>
      </w:pPr>
      <w:r>
        <w:t>（七）安全生产管理科</w:t>
      </w:r>
    </w:p>
    <w:p>
      <w:pPr>
        <w:pStyle w:val="21"/>
        <w:jc w:val="both"/>
      </w:pPr>
      <w:r>
        <w:t>负责全系统稳定、安全生产、法制教育宣传工作</w:t>
      </w:r>
    </w:p>
    <w:p>
      <w:pPr>
        <w:pStyle w:val="21"/>
        <w:jc w:val="both"/>
      </w:pPr>
      <w:r>
        <w:t>（八）纪检监察科</w:t>
      </w:r>
    </w:p>
    <w:p>
      <w:pPr>
        <w:pStyle w:val="21"/>
        <w:jc w:val="both"/>
      </w:pPr>
      <w:r>
        <w:t>负责监督、检查本系统贯彻执行党和政府的路线、方针、政策，对党组织和党员干部执行党纪的情况进行监督，并对党员干部违反党纪的案件进行查处；搞好党风廉政建设、受理系统内党员和群众的检举、控告以及党员对纪律处分不服的申诉、做好信访接待工作和矛盾调解等工作。</w:t>
      </w:r>
    </w:p>
    <w:p>
      <w:pPr>
        <w:pStyle w:val="21"/>
        <w:jc w:val="both"/>
      </w:pPr>
      <w:r>
        <w:t>（九）资产经营公司</w:t>
      </w:r>
    </w:p>
    <w:p>
      <w:pPr>
        <w:pStyle w:val="21"/>
        <w:jc w:val="both"/>
      </w:pPr>
      <w:r>
        <w:t>负责全系统资产运营和监督管理，防止社有资产流失。</w:t>
      </w:r>
    </w:p>
    <w:p>
      <w:pPr>
        <w:pStyle w:val="2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霸州市供销合作社联合社本级</w:t>
            </w:r>
          </w:p>
        </w:tc>
        <w:tc>
          <w:tcPr>
            <w:tcW w:w="1843" w:type="dxa"/>
            <w:vAlign w:val="center"/>
          </w:tcPr>
          <w:p>
            <w:pPr>
              <w:pStyle w:val="17"/>
              <w:rPr>
                <w:rFonts w:hint="eastAsia" w:eastAsia="方正书宋_GBK"/>
                <w:lang w:eastAsia="zh-CN"/>
              </w:rPr>
            </w:pPr>
            <w:r>
              <w:rPr>
                <w:rFonts w:hint="eastAsia"/>
                <w:lang w:val="en-US" w:eastAsia="zh-CN"/>
              </w:rPr>
              <w:t>事业</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240" w:lineRule="auto"/>
        <w:ind w:firstLine="640"/>
        <w:jc w:val="both"/>
        <w:outlineLvl w:val="0"/>
      </w:pPr>
      <w:r>
        <w:rPr>
          <w:rFonts w:ascii="黑体" w:hAnsi="黑体" w:eastAsia="黑体" w:cs="黑体"/>
          <w:color w:val="000000"/>
          <w:sz w:val="32"/>
        </w:rPr>
        <w:t>二、单位预算安排的总体情况</w:t>
      </w:r>
    </w:p>
    <w:p>
      <w:pPr>
        <w:spacing w:before="0" w:after="0" w:line="500" w:lineRule="exact"/>
        <w:ind w:firstLine="560"/>
        <w:jc w:val="both"/>
        <w:outlineLvl w:val="9"/>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单位预算的编制实行综合预算管理，即全部收入和支出都反映在预算中。</w:t>
      </w:r>
    </w:p>
    <w:p>
      <w:pPr>
        <w:ind w:firstLine="643" w:firstLineChars="200"/>
        <w:jc w:val="both"/>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560" w:firstLineChars="200"/>
        <w:jc w:val="both"/>
        <w:rPr>
          <w:rFonts w:ascii="仿宋_GB2312" w:hAnsi="Times New Roman" w:eastAsia="仿宋_GB2312" w:cs="Times New Roman"/>
          <w:color w:val="000000" w:themeColor="text1"/>
          <w:sz w:val="32"/>
          <w:szCs w:val="32"/>
        </w:rPr>
      </w:pPr>
      <w:r>
        <w:rPr>
          <w:rFonts w:hint="eastAsia" w:ascii="Times New Roman" w:hAnsi="Times New Roman" w:eastAsia="方正仿宋_GBK" w:cs="Times New Roman"/>
          <w:sz w:val="28"/>
          <w:szCs w:val="24"/>
          <w:lang w:val="en-US" w:eastAsia="uk-UA" w:bidi="ar-SA"/>
        </w:rPr>
        <w:t>反映本</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当年全部收入。20</w:t>
      </w:r>
      <w:r>
        <w:rPr>
          <w:rFonts w:ascii="Times New Roman" w:hAnsi="Times New Roman" w:eastAsia="方正仿宋_GBK" w:cs="Times New Roman"/>
          <w:sz w:val="28"/>
          <w:szCs w:val="24"/>
          <w:lang w:val="en-US" w:eastAsia="uk-UA" w:bidi="ar-SA"/>
        </w:rPr>
        <w:t>2</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年预算收入</w:t>
      </w:r>
      <w:r>
        <w:rPr>
          <w:rFonts w:hint="eastAsia" w:eastAsia="方正仿宋_GBK" w:cs="Times New Roman"/>
          <w:sz w:val="28"/>
          <w:szCs w:val="24"/>
          <w:lang w:val="en-US" w:eastAsia="zh-CN" w:bidi="ar-SA"/>
        </w:rPr>
        <w:t>735.71</w:t>
      </w:r>
      <w:r>
        <w:rPr>
          <w:rFonts w:hint="eastAsia" w:ascii="Times New Roman" w:hAnsi="Times New Roman" w:eastAsia="方正仿宋_GBK" w:cs="Times New Roman"/>
          <w:sz w:val="28"/>
          <w:szCs w:val="24"/>
          <w:lang w:val="en-US" w:eastAsia="uk-UA" w:bidi="ar-SA"/>
        </w:rPr>
        <w:t>万元，其中：一般公共预算收入</w:t>
      </w:r>
      <w:r>
        <w:rPr>
          <w:rFonts w:hint="eastAsia" w:eastAsia="方正仿宋_GBK" w:cs="Times New Roman"/>
          <w:sz w:val="28"/>
          <w:szCs w:val="24"/>
          <w:lang w:val="en-US" w:eastAsia="zh-CN" w:bidi="ar-SA"/>
        </w:rPr>
        <w:t>735.71</w:t>
      </w:r>
      <w:r>
        <w:rPr>
          <w:rFonts w:hint="eastAsia" w:ascii="Times New Roman" w:hAnsi="Times New Roman" w:eastAsia="方正仿宋_GBK" w:cs="Times New Roman"/>
          <w:sz w:val="28"/>
          <w:szCs w:val="24"/>
          <w:lang w:val="en-US" w:eastAsia="uk-UA" w:bidi="ar-SA"/>
        </w:rPr>
        <w:t>万元，政府性基金预算收入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，国有资本经营</w:t>
      </w:r>
      <w:r>
        <w:rPr>
          <w:rFonts w:ascii="Times New Roman" w:hAnsi="Times New Roman" w:eastAsia="方正仿宋_GBK" w:cs="Times New Roman"/>
          <w:sz w:val="28"/>
          <w:szCs w:val="24"/>
          <w:lang w:val="en-US" w:eastAsia="uk-UA" w:bidi="ar-SA"/>
        </w:rPr>
        <w:t>预算收入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财政专户管理资金收入0万元，</w:t>
      </w:r>
      <w:r>
        <w:rPr>
          <w:rFonts w:ascii="Times New Roman" w:hAnsi="Times New Roman" w:eastAsia="方正仿宋_GBK" w:cs="Times New Roman"/>
          <w:sz w:val="28"/>
          <w:szCs w:val="24"/>
          <w:lang w:val="en-US" w:eastAsia="uk-UA" w:bidi="ar-SA"/>
        </w:rPr>
        <w:t>上级补助收入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事业收入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万元，经营</w:t>
      </w:r>
      <w:r>
        <w:rPr>
          <w:rFonts w:ascii="Times New Roman" w:hAnsi="Times New Roman" w:eastAsia="方正仿宋_GBK" w:cs="Times New Roman"/>
          <w:sz w:val="28"/>
          <w:szCs w:val="24"/>
          <w:lang w:val="en-US" w:eastAsia="uk-UA" w:bidi="ar-SA"/>
        </w:rPr>
        <w:t>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万元，附属单位上缴</w:t>
      </w:r>
      <w:r>
        <w:rPr>
          <w:rFonts w:ascii="Times New Roman" w:hAnsi="Times New Roman" w:eastAsia="方正仿宋_GBK" w:cs="Times New Roman"/>
          <w:sz w:val="28"/>
          <w:szCs w:val="24"/>
          <w:lang w:val="en-US" w:eastAsia="uk-UA" w:bidi="ar-SA"/>
        </w:rPr>
        <w:t>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其他收入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，上年结转0万元。</w:t>
      </w:r>
    </w:p>
    <w:p>
      <w:pPr>
        <w:ind w:firstLine="640"/>
        <w:jc w:val="both"/>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560" w:firstLineChars="200"/>
        <w:jc w:val="both"/>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收支预算总表支出栏、基本支出表、项目支出表按经济分类和支出功能分类科目编制，反映霸州市</w:t>
      </w:r>
      <w:r>
        <w:rPr>
          <w:rFonts w:hint="eastAsia" w:ascii="Times New Roman" w:hAnsi="Times New Roman" w:eastAsia="方正仿宋_GBK" w:cs="Times New Roman"/>
          <w:sz w:val="28"/>
          <w:szCs w:val="24"/>
          <w:lang w:val="en-US" w:eastAsia="zh-CN" w:bidi="ar-SA"/>
        </w:rPr>
        <w:t>供销合作社联合社</w:t>
      </w:r>
      <w:r>
        <w:rPr>
          <w:rFonts w:hint="eastAsia" w:ascii="Times New Roman" w:hAnsi="Times New Roman" w:eastAsia="方正仿宋_GBK" w:cs="Times New Roman"/>
          <w:sz w:val="28"/>
          <w:szCs w:val="24"/>
          <w:lang w:val="en-US" w:eastAsia="uk-UA" w:bidi="ar-SA"/>
        </w:rPr>
        <w:t>20</w:t>
      </w:r>
      <w:r>
        <w:rPr>
          <w:rFonts w:hint="eastAsia" w:eastAsia="方正仿宋_GBK" w:cs="Times New Roman"/>
          <w:sz w:val="28"/>
          <w:szCs w:val="24"/>
          <w:lang w:val="en-US" w:eastAsia="zh-CN" w:bidi="ar-SA"/>
        </w:rPr>
        <w:t>23</w:t>
      </w:r>
      <w:r>
        <w:rPr>
          <w:rFonts w:hint="eastAsia" w:ascii="Times New Roman" w:hAnsi="Times New Roman" w:eastAsia="方正仿宋_GBK" w:cs="Times New Roman"/>
          <w:sz w:val="28"/>
          <w:szCs w:val="24"/>
          <w:lang w:val="en-US" w:eastAsia="uk-UA" w:bidi="ar-SA"/>
        </w:rPr>
        <w:t>年度</w:t>
      </w:r>
      <w:r>
        <w:rPr>
          <w:rFonts w:hint="eastAsia" w:eastAsia="方正仿宋_GBK" w:cs="Times New Roman"/>
          <w:sz w:val="28"/>
          <w:szCs w:val="24"/>
          <w:highlight w:val="none"/>
          <w:lang w:val="en-US" w:eastAsia="zh-CN" w:bidi="ar-SA"/>
        </w:rPr>
        <w:t>单位</w:t>
      </w:r>
      <w:r>
        <w:rPr>
          <w:rFonts w:hint="eastAsia" w:ascii="Times New Roman" w:hAnsi="Times New Roman" w:eastAsia="方正仿宋_GBK" w:cs="Times New Roman"/>
          <w:sz w:val="28"/>
          <w:szCs w:val="24"/>
          <w:lang w:val="en-US" w:eastAsia="uk-UA" w:bidi="ar-SA"/>
        </w:rPr>
        <w:t>预算中支出预算的总体情况。202</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年本</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支出预算</w:t>
      </w:r>
      <w:r>
        <w:rPr>
          <w:rFonts w:hint="eastAsia" w:eastAsia="方正仿宋_GBK" w:cs="Times New Roman"/>
          <w:sz w:val="28"/>
          <w:szCs w:val="24"/>
          <w:lang w:val="en-US" w:eastAsia="zh-CN" w:bidi="ar-SA"/>
        </w:rPr>
        <w:t>735.71</w:t>
      </w:r>
      <w:r>
        <w:rPr>
          <w:rFonts w:hint="eastAsia" w:ascii="Times New Roman" w:hAnsi="Times New Roman" w:eastAsia="方正仿宋_GBK" w:cs="Times New Roman"/>
          <w:sz w:val="28"/>
          <w:szCs w:val="24"/>
          <w:lang w:val="en-US" w:eastAsia="uk-UA" w:bidi="ar-SA"/>
        </w:rPr>
        <w:t>万元，其中：基本支出</w:t>
      </w:r>
      <w:r>
        <w:rPr>
          <w:rFonts w:hint="eastAsia" w:eastAsia="方正仿宋_GBK" w:cs="Times New Roman"/>
          <w:sz w:val="28"/>
          <w:szCs w:val="24"/>
          <w:lang w:val="en-US" w:eastAsia="zh-CN" w:bidi="ar-SA"/>
        </w:rPr>
        <w:t>596.01</w:t>
      </w:r>
      <w:r>
        <w:rPr>
          <w:rFonts w:hint="eastAsia" w:ascii="Times New Roman" w:hAnsi="Times New Roman" w:eastAsia="方正仿宋_GBK" w:cs="Times New Roman"/>
          <w:sz w:val="28"/>
          <w:szCs w:val="24"/>
          <w:lang w:val="en-US" w:eastAsia="uk-UA" w:bidi="ar-SA"/>
        </w:rPr>
        <w:t>万元，包括：人员</w:t>
      </w:r>
      <w:r>
        <w:rPr>
          <w:rFonts w:hint="eastAsia" w:ascii="Times New Roman" w:hAnsi="Times New Roman" w:eastAsia="方正仿宋_GBK" w:cs="Times New Roman"/>
          <w:sz w:val="28"/>
          <w:szCs w:val="24"/>
          <w:lang w:val="en-US" w:eastAsia="zh-CN" w:bidi="ar-SA"/>
        </w:rPr>
        <w:t>类项目</w:t>
      </w:r>
      <w:r>
        <w:rPr>
          <w:rFonts w:hint="eastAsia" w:ascii="Times New Roman" w:hAnsi="Times New Roman" w:eastAsia="方正仿宋_GBK" w:cs="Times New Roman"/>
          <w:sz w:val="28"/>
          <w:szCs w:val="24"/>
          <w:lang w:val="en-US" w:eastAsia="uk-UA" w:bidi="ar-SA"/>
        </w:rPr>
        <w:t>经费</w:t>
      </w:r>
      <w:r>
        <w:rPr>
          <w:rFonts w:hint="eastAsia" w:eastAsia="方正仿宋_GBK" w:cs="Times New Roman"/>
          <w:sz w:val="28"/>
          <w:szCs w:val="24"/>
          <w:lang w:val="en-US" w:eastAsia="zh-CN" w:bidi="ar-SA"/>
        </w:rPr>
        <w:t>596.01</w:t>
      </w:r>
      <w:r>
        <w:rPr>
          <w:rFonts w:hint="eastAsia" w:ascii="Times New Roman" w:hAnsi="Times New Roman" w:eastAsia="方正仿宋_GBK" w:cs="Times New Roman"/>
          <w:sz w:val="28"/>
          <w:szCs w:val="24"/>
          <w:lang w:val="en-US" w:eastAsia="uk-UA" w:bidi="ar-SA"/>
        </w:rPr>
        <w:t>万元和</w:t>
      </w:r>
      <w:r>
        <w:rPr>
          <w:rFonts w:hint="eastAsia" w:ascii="Times New Roman" w:hAnsi="Times New Roman" w:eastAsia="方正仿宋_GBK" w:cs="Times New Roman"/>
          <w:sz w:val="28"/>
          <w:szCs w:val="24"/>
          <w:lang w:val="en-US" w:eastAsia="zh-CN" w:bidi="ar-SA"/>
        </w:rPr>
        <w:t>运转类</w:t>
      </w:r>
      <w:r>
        <w:rPr>
          <w:rFonts w:hint="eastAsia" w:ascii="Times New Roman" w:hAnsi="Times New Roman" w:eastAsia="方正仿宋_GBK" w:cs="Times New Roman"/>
          <w:sz w:val="28"/>
          <w:szCs w:val="24"/>
          <w:lang w:val="en-US" w:eastAsia="uk-UA" w:bidi="ar-SA"/>
        </w:rPr>
        <w:t>公用</w:t>
      </w:r>
      <w:r>
        <w:rPr>
          <w:rFonts w:hint="eastAsia" w:ascii="Times New Roman" w:hAnsi="Times New Roman" w:eastAsia="方正仿宋_GBK" w:cs="Times New Roman"/>
          <w:sz w:val="28"/>
          <w:szCs w:val="24"/>
          <w:lang w:val="en-US" w:eastAsia="zh-CN" w:bidi="ar-SA"/>
        </w:rPr>
        <w:t>项目</w:t>
      </w:r>
      <w:r>
        <w:rPr>
          <w:rFonts w:hint="eastAsia" w:ascii="Times New Roman" w:hAnsi="Times New Roman" w:eastAsia="方正仿宋_GBK" w:cs="Times New Roman"/>
          <w:sz w:val="28"/>
          <w:szCs w:val="24"/>
          <w:lang w:val="en-US" w:eastAsia="uk-UA" w:bidi="ar-SA"/>
        </w:rPr>
        <w:t>经费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运转类其他及特定目标类</w:t>
      </w:r>
      <w:r>
        <w:rPr>
          <w:rFonts w:hint="eastAsia" w:ascii="Times New Roman" w:hAnsi="Times New Roman" w:eastAsia="方正仿宋_GBK" w:cs="Times New Roman"/>
          <w:sz w:val="28"/>
          <w:szCs w:val="24"/>
          <w:lang w:val="en-US" w:eastAsia="uk-UA" w:bidi="ar-SA"/>
        </w:rPr>
        <w:t>项目支出</w:t>
      </w:r>
      <w:r>
        <w:rPr>
          <w:rFonts w:hint="eastAsia" w:eastAsia="方正仿宋_GBK" w:cs="Times New Roman"/>
          <w:sz w:val="28"/>
          <w:szCs w:val="24"/>
          <w:lang w:val="en-US" w:eastAsia="zh-CN" w:bidi="ar-SA"/>
        </w:rPr>
        <w:t>139.70</w:t>
      </w:r>
      <w:r>
        <w:rPr>
          <w:rFonts w:hint="eastAsia" w:ascii="Times New Roman" w:hAnsi="Times New Roman" w:eastAsia="方正仿宋_GBK" w:cs="Times New Roman"/>
          <w:sz w:val="28"/>
          <w:szCs w:val="24"/>
          <w:lang w:val="en-US" w:eastAsia="uk-UA" w:bidi="ar-SA"/>
        </w:rPr>
        <w:t>万元，全部为本级支出，主要为</w:t>
      </w:r>
      <w:r>
        <w:rPr>
          <w:rFonts w:hint="eastAsia" w:ascii="Times New Roman" w:hAnsi="Times New Roman" w:eastAsia="方正仿宋_GBK" w:cs="Times New Roman"/>
          <w:sz w:val="28"/>
          <w:szCs w:val="24"/>
          <w:lang w:val="en-US" w:eastAsia="zh-CN" w:bidi="ar-SA"/>
        </w:rPr>
        <w:t>霸州市农村产权交易中心运转经费、市级食盐储备库运转资金、霸州市油棉厂职工养老保险费用、霸州市油棉厂职工医疗保险费用</w:t>
      </w:r>
      <w:r>
        <w:rPr>
          <w:rFonts w:hint="eastAsia"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上缴上级支出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万元，经营支出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万元，对附属单位补助支出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p>
    <w:p>
      <w:pPr>
        <w:ind w:firstLine="640"/>
        <w:jc w:val="both"/>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pStyle w:val="22"/>
        <w:jc w:val="both"/>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w:t>
      </w:r>
      <w:r>
        <w:rPr>
          <w:rFonts w:hint="eastAsia" w:cs="Times New Roman"/>
          <w:sz w:val="28"/>
          <w:szCs w:val="24"/>
          <w:lang w:val="en-US" w:eastAsia="zh-CN" w:bidi="ar-SA"/>
        </w:rPr>
        <w:t>23</w:t>
      </w:r>
      <w:r>
        <w:rPr>
          <w:rFonts w:hint="eastAsia" w:ascii="Times New Roman" w:hAnsi="Times New Roman" w:eastAsia="方正仿宋_GBK" w:cs="Times New Roman"/>
          <w:sz w:val="28"/>
          <w:szCs w:val="24"/>
          <w:lang w:val="en-US" w:eastAsia="uk-UA" w:bidi="ar-SA"/>
        </w:rPr>
        <w:t>年预算收支安排</w:t>
      </w:r>
      <w:r>
        <w:rPr>
          <w:rFonts w:hint="eastAsia" w:cs="Times New Roman"/>
          <w:sz w:val="28"/>
          <w:szCs w:val="24"/>
          <w:lang w:val="en-US" w:eastAsia="zh-CN" w:bidi="ar-SA"/>
        </w:rPr>
        <w:t>735.71</w:t>
      </w:r>
      <w:r>
        <w:rPr>
          <w:rFonts w:hint="eastAsia" w:ascii="Times New Roman" w:hAnsi="Times New Roman" w:eastAsia="方正仿宋_GBK" w:cs="Times New Roman"/>
          <w:sz w:val="28"/>
          <w:szCs w:val="24"/>
          <w:lang w:val="en-US" w:eastAsia="uk-UA" w:bidi="ar-SA"/>
        </w:rPr>
        <w:t>万元，较20</w:t>
      </w:r>
      <w:r>
        <w:rPr>
          <w:rFonts w:hint="eastAsia" w:ascii="Times New Roman" w:hAnsi="Times New Roman" w:eastAsia="方正仿宋_GBK" w:cs="Times New Roman"/>
          <w:sz w:val="28"/>
          <w:szCs w:val="24"/>
          <w:lang w:val="en-US" w:eastAsia="zh-CN" w:bidi="ar-SA"/>
        </w:rPr>
        <w:t>2</w:t>
      </w:r>
      <w:r>
        <w:rPr>
          <w:rFonts w:hint="eastAsia"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w:t>
      </w:r>
      <w:r>
        <w:rPr>
          <w:rFonts w:hint="eastAsia" w:cs="Times New Roman"/>
          <w:sz w:val="28"/>
          <w:szCs w:val="24"/>
          <w:lang w:val="en-US" w:eastAsia="zh-CN" w:bidi="ar-SA"/>
        </w:rPr>
        <w:t>增加17.09</w:t>
      </w:r>
      <w:r>
        <w:rPr>
          <w:rFonts w:hint="eastAsia" w:ascii="Times New Roman" w:hAnsi="Times New Roman" w:eastAsia="方正仿宋_GBK" w:cs="Times New Roman"/>
          <w:sz w:val="28"/>
          <w:szCs w:val="24"/>
          <w:lang w:val="en-US" w:eastAsia="uk-UA" w:bidi="ar-SA"/>
        </w:rPr>
        <w:t>万元，其中：基本支出</w:t>
      </w:r>
      <w:r>
        <w:rPr>
          <w:rFonts w:hint="eastAsia" w:cs="Times New Roman"/>
          <w:sz w:val="28"/>
          <w:szCs w:val="24"/>
          <w:lang w:val="en-US" w:eastAsia="zh-CN" w:bidi="ar-SA"/>
        </w:rPr>
        <w:t>增加77.71</w:t>
      </w:r>
      <w:r>
        <w:rPr>
          <w:rFonts w:hint="eastAsia" w:ascii="Times New Roman" w:hAnsi="Times New Roman" w:eastAsia="方正仿宋_GBK" w:cs="Times New Roman"/>
          <w:sz w:val="28"/>
          <w:szCs w:val="24"/>
          <w:lang w:val="en-US" w:eastAsia="uk-UA" w:bidi="ar-SA"/>
        </w:rPr>
        <w:t>万元，主要为</w:t>
      </w:r>
      <w:r>
        <w:rPr>
          <w:rFonts w:hint="eastAsia" w:cs="Times New Roman"/>
          <w:sz w:val="28"/>
          <w:szCs w:val="24"/>
          <w:lang w:val="en-US" w:eastAsia="zh-CN" w:bidi="ar-SA"/>
        </w:rPr>
        <w:t>增加对个人和家庭的补助</w:t>
      </w:r>
      <w:r>
        <w:rPr>
          <w:rFonts w:hint="eastAsia" w:ascii="Times New Roman" w:hAnsi="Times New Roman" w:eastAsia="方正仿宋_GBK" w:cs="Times New Roman"/>
          <w:sz w:val="28"/>
          <w:szCs w:val="24"/>
          <w:lang w:val="en-US" w:eastAsia="uk-UA" w:bidi="ar-SA"/>
        </w:rPr>
        <w:t>；项目支出</w:t>
      </w:r>
      <w:r>
        <w:rPr>
          <w:rFonts w:hint="eastAsia" w:cs="Times New Roman"/>
          <w:sz w:val="28"/>
          <w:szCs w:val="24"/>
          <w:lang w:val="en-US" w:eastAsia="zh-CN" w:bidi="ar-SA"/>
        </w:rPr>
        <w:t>减少60.62</w:t>
      </w:r>
      <w:r>
        <w:rPr>
          <w:rFonts w:hint="eastAsia" w:ascii="Times New Roman" w:hAnsi="Times New Roman" w:eastAsia="方正仿宋_GBK" w:cs="Times New Roman"/>
          <w:sz w:val="28"/>
          <w:szCs w:val="24"/>
          <w:lang w:val="en-US" w:eastAsia="uk-UA" w:bidi="ar-SA"/>
        </w:rPr>
        <w:t>万元，主要</w:t>
      </w:r>
      <w:r>
        <w:rPr>
          <w:rFonts w:hint="eastAsia" w:ascii="Times New Roman" w:hAnsi="Times New Roman" w:eastAsia="方正仿宋_GBK" w:cs="Times New Roman"/>
          <w:sz w:val="28"/>
          <w:szCs w:val="24"/>
          <w:lang w:val="en-US" w:eastAsia="zh-CN" w:bidi="ar-SA"/>
        </w:rPr>
        <w:t>为</w:t>
      </w:r>
      <w:r>
        <w:rPr>
          <w:rFonts w:hint="eastAsia" w:cs="Times New Roman"/>
          <w:sz w:val="28"/>
          <w:szCs w:val="24"/>
          <w:lang w:val="en-US" w:eastAsia="zh-CN" w:bidi="ar-SA"/>
        </w:rPr>
        <w:t>减少</w:t>
      </w:r>
      <w:r>
        <w:rPr>
          <w:rFonts w:hint="eastAsia" w:ascii="Times New Roman" w:hAnsi="Times New Roman" w:eastAsia="方正仿宋_GBK" w:cs="Times New Roman"/>
          <w:sz w:val="28"/>
          <w:szCs w:val="24"/>
          <w:lang w:val="en-US" w:eastAsia="zh-CN" w:bidi="ar-SA"/>
        </w:rPr>
        <w:t>盐业执法经费</w:t>
      </w:r>
      <w:r>
        <w:rPr>
          <w:rFonts w:hint="eastAsia" w:cs="Times New Roman"/>
          <w:sz w:val="28"/>
          <w:szCs w:val="24"/>
          <w:lang w:val="en-US" w:eastAsia="zh-CN" w:bidi="ar-SA"/>
        </w:rPr>
        <w:t>。</w:t>
      </w:r>
    </w:p>
    <w:p>
      <w:pPr>
        <w:pStyle w:val="30"/>
        <w:jc w:val="both"/>
      </w:pPr>
    </w:p>
    <w:p>
      <w:pPr>
        <w:spacing w:before="10" w:after="10" w:line="240" w:lineRule="auto"/>
        <w:ind w:firstLine="640"/>
        <w:jc w:val="both"/>
        <w:outlineLvl w:val="0"/>
      </w:pPr>
      <w:r>
        <w:rPr>
          <w:rFonts w:ascii="黑体" w:hAnsi="黑体" w:eastAsia="黑体" w:cs="黑体"/>
          <w:color w:val="000000"/>
          <w:sz w:val="32"/>
        </w:rPr>
        <w:t>三、机关运行经费安排情况</w:t>
      </w:r>
    </w:p>
    <w:p>
      <w:pPr>
        <w:pStyle w:val="31"/>
        <w:jc w:val="both"/>
      </w:pPr>
      <w:r>
        <w:rPr>
          <w:rFonts w:hint="eastAsia" w:ascii="Times New Roman" w:hAnsi="Times New Roman" w:eastAsia="方正仿宋_GBK" w:cs="Times New Roman"/>
          <w:sz w:val="28"/>
          <w:szCs w:val="24"/>
          <w:lang w:val="en-US" w:eastAsia="zh-CN" w:bidi="ar-SA"/>
        </w:rPr>
        <w:t>202</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zh-CN" w:bidi="ar-SA"/>
        </w:rPr>
        <w:t>年，我</w:t>
      </w:r>
      <w:r>
        <w:rPr>
          <w:rFonts w:hint="eastAsia" w:cs="Times New Roman"/>
          <w:sz w:val="28"/>
          <w:szCs w:val="24"/>
          <w:lang w:val="en-US" w:eastAsia="zh-CN" w:bidi="ar-SA"/>
        </w:rPr>
        <w:t>单位</w:t>
      </w:r>
      <w:r>
        <w:rPr>
          <w:rFonts w:hint="eastAsia" w:eastAsia="方正仿宋_GBK" w:cs="Times New Roman"/>
          <w:sz w:val="28"/>
          <w:szCs w:val="24"/>
          <w:lang w:val="en-US" w:eastAsia="zh-CN" w:bidi="ar-SA"/>
        </w:rPr>
        <w:t>机关运行经费共计安排0万元。主要是因为</w:t>
      </w:r>
      <w:r>
        <w:rPr>
          <w:rFonts w:hint="eastAsia" w:ascii="Times New Roman" w:hAnsi="Times New Roman" w:eastAsia="方正仿宋_GBK" w:cs="Times New Roman"/>
          <w:sz w:val="28"/>
          <w:szCs w:val="24"/>
          <w:lang w:val="en-US" w:eastAsia="zh-CN" w:bidi="ar-SA"/>
        </w:rPr>
        <w:t>霸州市供销合作社联合社</w:t>
      </w:r>
      <w:r>
        <w:rPr>
          <w:rFonts w:hint="eastAsia" w:ascii="Times New Roman" w:hAnsi="Times New Roman" w:eastAsia="方正仿宋_GBK" w:cs="Times New Roman"/>
          <w:sz w:val="28"/>
          <w:szCs w:val="24"/>
          <w:lang w:val="en-US" w:eastAsia="uk-UA" w:bidi="ar-SA"/>
        </w:rPr>
        <w:t>财政</w:t>
      </w:r>
      <w:r>
        <w:rPr>
          <w:rFonts w:hint="eastAsia" w:ascii="Times New Roman" w:hAnsi="Times New Roman" w:eastAsia="方正仿宋_GBK" w:cs="Times New Roman"/>
          <w:sz w:val="28"/>
          <w:szCs w:val="24"/>
          <w:lang w:val="en-US" w:eastAsia="zh-CN" w:bidi="ar-SA"/>
        </w:rPr>
        <w:t>性资金为</w:t>
      </w:r>
      <w:r>
        <w:rPr>
          <w:rFonts w:hint="eastAsia" w:ascii="Times New Roman" w:hAnsi="Times New Roman" w:eastAsia="方正仿宋_GBK" w:cs="Times New Roman"/>
          <w:sz w:val="28"/>
          <w:szCs w:val="24"/>
          <w:lang w:val="en-US" w:eastAsia="uk-UA" w:bidi="ar-SA"/>
        </w:rPr>
        <w:t>定额补助</w:t>
      </w:r>
      <w:r>
        <w:rPr>
          <w:rFonts w:hint="eastAsia" w:ascii="Times New Roman" w:hAnsi="Times New Roman" w:eastAsia="方正仿宋_GBK" w:cs="Times New Roman"/>
          <w:sz w:val="28"/>
          <w:szCs w:val="24"/>
          <w:lang w:val="en-US" w:eastAsia="zh-CN" w:bidi="ar-SA"/>
        </w:rPr>
        <w:t>事业</w:t>
      </w:r>
      <w:r>
        <w:rPr>
          <w:rFonts w:hint="eastAsia" w:ascii="Times New Roman" w:hAnsi="Times New Roman" w:eastAsia="方正仿宋_GBK" w:cs="Times New Roman"/>
          <w:sz w:val="28"/>
          <w:szCs w:val="24"/>
          <w:lang w:val="en-US" w:eastAsia="uk-UA" w:bidi="ar-SA"/>
        </w:rPr>
        <w:t>单位</w:t>
      </w:r>
      <w:r>
        <w:rPr>
          <w:rFonts w:hint="eastAsia" w:ascii="Times New Roman" w:hAnsi="Times New Roman" w:eastAsia="方正仿宋_GBK" w:cs="Times New Roman"/>
          <w:sz w:val="28"/>
          <w:szCs w:val="24"/>
          <w:lang w:val="en-US" w:eastAsia="zh-CN" w:bidi="ar-SA"/>
        </w:rPr>
        <w:t>，只拨付人员工资福利支出</w:t>
      </w:r>
      <w:r>
        <w:rPr>
          <w:rFonts w:hint="eastAsia" w:cs="Times New Roman"/>
          <w:sz w:val="28"/>
          <w:szCs w:val="24"/>
          <w:lang w:val="en-US" w:eastAsia="zh-CN" w:bidi="ar-SA"/>
        </w:rPr>
        <w:t>。</w:t>
      </w:r>
    </w:p>
    <w:p>
      <w:pPr>
        <w:spacing w:before="10" w:after="10" w:line="240" w:lineRule="auto"/>
        <w:ind w:firstLine="640"/>
        <w:jc w:val="both"/>
        <w:outlineLvl w:val="0"/>
      </w:pPr>
      <w:r>
        <w:rPr>
          <w:rFonts w:ascii="黑体" w:hAnsi="黑体" w:eastAsia="黑体" w:cs="黑体"/>
          <w:color w:val="000000"/>
          <w:sz w:val="32"/>
        </w:rPr>
        <w:t>四、财政拨款“三公”经费预算情况及增减变化原因</w:t>
      </w:r>
    </w:p>
    <w:p>
      <w:pPr>
        <w:ind w:firstLine="560" w:firstLineChars="200"/>
        <w:jc w:val="both"/>
        <w:rPr>
          <w:rFonts w:hint="default"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uk-UA" w:bidi="ar-SA"/>
        </w:rPr>
        <w:t>202</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年，我</w:t>
      </w:r>
      <w:r>
        <w:rPr>
          <w:rFonts w:hint="eastAsia" w:eastAsia="方正仿宋_GBK" w:cs="Times New Roman"/>
          <w:sz w:val="28"/>
          <w:szCs w:val="24"/>
          <w:lang w:val="en-US" w:eastAsia="zh-CN" w:bidi="ar-SA"/>
        </w:rPr>
        <w:t>单位财政拨款</w:t>
      </w:r>
      <w:r>
        <w:rPr>
          <w:rFonts w:hint="eastAsia" w:ascii="Times New Roman" w:hAnsi="Times New Roman" w:eastAsia="方正仿宋_GBK" w:cs="Times New Roman"/>
          <w:sz w:val="28"/>
          <w:szCs w:val="24"/>
          <w:lang w:val="en-US" w:eastAsia="uk-UA" w:bidi="ar-SA"/>
        </w:rPr>
        <w:t>“三公”经费预算安排</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万元，其中：因公出国（境）费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万元；公务用车购置及运维费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万元（其中：公务用车购置费</w:t>
      </w:r>
      <w:r>
        <w:rPr>
          <w:rFonts w:hint="eastAsia" w:eastAsia="方正仿宋_GBK" w:cs="Times New Roman"/>
          <w:sz w:val="28"/>
          <w:szCs w:val="24"/>
          <w:lang w:val="en-US" w:eastAsia="zh-CN" w:bidi="ar-SA"/>
        </w:rPr>
        <w:t>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万元，公务用车运行维护费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万元)；公务接待费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r>
        <w:rPr>
          <w:rFonts w:hint="eastAsia" w:eastAsia="方正仿宋_GBK" w:cs="Times New Roman"/>
          <w:sz w:val="28"/>
          <w:szCs w:val="24"/>
          <w:lang w:val="en-US" w:eastAsia="zh-CN" w:bidi="ar-SA"/>
        </w:rPr>
        <w:t>与</w:t>
      </w:r>
      <w:r>
        <w:rPr>
          <w:rFonts w:hint="eastAsia" w:ascii="Times New Roman" w:hAnsi="Times New Roman" w:eastAsia="方正仿宋_GBK" w:cs="Times New Roman"/>
          <w:sz w:val="28"/>
          <w:szCs w:val="24"/>
          <w:lang w:val="en-US" w:eastAsia="uk-UA" w:bidi="ar-SA"/>
        </w:rPr>
        <w:t>20</w:t>
      </w:r>
      <w:r>
        <w:rPr>
          <w:rFonts w:hint="eastAsia" w:ascii="Times New Roman" w:hAnsi="Times New Roman" w:eastAsia="方正仿宋_GBK" w:cs="Times New Roman"/>
          <w:sz w:val="28"/>
          <w:szCs w:val="24"/>
          <w:lang w:val="en-US" w:eastAsia="zh-CN" w:bidi="ar-SA"/>
        </w:rPr>
        <w:t>2</w:t>
      </w:r>
      <w:r>
        <w:rPr>
          <w:rFonts w:hint="eastAsia"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w:t>
      </w:r>
      <w:r>
        <w:rPr>
          <w:rFonts w:hint="eastAsia" w:eastAsia="方正仿宋_GBK" w:cs="Times New Roman"/>
          <w:sz w:val="28"/>
          <w:szCs w:val="24"/>
          <w:lang w:val="en-US" w:eastAsia="zh-CN" w:bidi="ar-SA"/>
        </w:rPr>
        <w:t>相比</w:t>
      </w:r>
      <w:r>
        <w:rPr>
          <w:rFonts w:hint="eastAsia" w:ascii="Times New Roman" w:hAnsi="Times New Roman" w:eastAsia="方正仿宋_GBK" w:cs="Times New Roman"/>
          <w:sz w:val="28"/>
          <w:szCs w:val="24"/>
          <w:lang w:val="en-US" w:eastAsia="zh-CN" w:bidi="ar-SA"/>
        </w:rPr>
        <w:t>持平</w:t>
      </w:r>
      <w:r>
        <w:rPr>
          <w:rFonts w:hint="eastAsia" w:ascii="Times New Roman" w:hAnsi="Times New Roman" w:eastAsia="方正仿宋_GBK" w:cs="Times New Roman"/>
          <w:sz w:val="28"/>
          <w:szCs w:val="24"/>
          <w:lang w:val="en-US" w:eastAsia="uk-UA" w:bidi="ar-SA"/>
        </w:rPr>
        <w:t>，无增减变化</w:t>
      </w:r>
      <w:r>
        <w:rPr>
          <w:rFonts w:hint="eastAsia" w:ascii="Times New Roman" w:hAnsi="Times New Roman" w:eastAsia="方正仿宋_GBK" w:cs="Times New Roman"/>
          <w:sz w:val="28"/>
          <w:szCs w:val="24"/>
          <w:lang w:val="en-US" w:eastAsia="zh-CN" w:bidi="ar-SA"/>
        </w:rPr>
        <w:t>，主要是因为霸州市供销合作社联合社</w:t>
      </w:r>
      <w:r>
        <w:rPr>
          <w:rFonts w:hint="eastAsia" w:ascii="Times New Roman" w:hAnsi="Times New Roman" w:eastAsia="方正仿宋_GBK" w:cs="Times New Roman"/>
          <w:sz w:val="28"/>
          <w:szCs w:val="24"/>
          <w:lang w:val="en-US" w:eastAsia="uk-UA" w:bidi="ar-SA"/>
        </w:rPr>
        <w:t>财政</w:t>
      </w:r>
      <w:r>
        <w:rPr>
          <w:rFonts w:hint="eastAsia" w:ascii="Times New Roman" w:hAnsi="Times New Roman" w:eastAsia="方正仿宋_GBK" w:cs="Times New Roman"/>
          <w:sz w:val="28"/>
          <w:szCs w:val="24"/>
          <w:lang w:val="en-US" w:eastAsia="zh-CN" w:bidi="ar-SA"/>
        </w:rPr>
        <w:t>性资金为</w:t>
      </w:r>
      <w:r>
        <w:rPr>
          <w:rFonts w:hint="eastAsia" w:ascii="Times New Roman" w:hAnsi="Times New Roman" w:eastAsia="方正仿宋_GBK" w:cs="Times New Roman"/>
          <w:sz w:val="28"/>
          <w:szCs w:val="24"/>
          <w:lang w:val="en-US" w:eastAsia="uk-UA" w:bidi="ar-SA"/>
        </w:rPr>
        <w:t>定额补助</w:t>
      </w:r>
      <w:r>
        <w:rPr>
          <w:rFonts w:hint="eastAsia" w:ascii="Times New Roman" w:hAnsi="Times New Roman" w:eastAsia="方正仿宋_GBK" w:cs="Times New Roman"/>
          <w:sz w:val="28"/>
          <w:szCs w:val="24"/>
          <w:lang w:val="en-US" w:eastAsia="zh-CN" w:bidi="ar-SA"/>
        </w:rPr>
        <w:t>事业</w:t>
      </w:r>
      <w:r>
        <w:rPr>
          <w:rFonts w:hint="eastAsia" w:ascii="Times New Roman" w:hAnsi="Times New Roman" w:eastAsia="方正仿宋_GBK" w:cs="Times New Roman"/>
          <w:sz w:val="28"/>
          <w:szCs w:val="24"/>
          <w:lang w:val="en-US" w:eastAsia="uk-UA" w:bidi="ar-SA"/>
        </w:rPr>
        <w:t>单位</w:t>
      </w:r>
      <w:r>
        <w:rPr>
          <w:rFonts w:hint="eastAsia" w:ascii="Times New Roman" w:hAnsi="Times New Roman" w:eastAsia="方正仿宋_GBK" w:cs="Times New Roman"/>
          <w:sz w:val="28"/>
          <w:szCs w:val="24"/>
          <w:lang w:val="en-US" w:eastAsia="zh-CN" w:bidi="ar-SA"/>
        </w:rPr>
        <w:t>，只拨付人员工资福利支出。</w:t>
      </w:r>
    </w:p>
    <w:p>
      <w:pPr>
        <w:numPr>
          <w:ilvl w:val="0"/>
          <w:numId w:val="0"/>
        </w:numPr>
        <w:spacing w:before="10" w:after="10" w:line="240" w:lineRule="auto"/>
        <w:ind w:left="640" w:leftChars="0"/>
        <w:jc w:val="both"/>
        <w:outlineLvl w:val="0"/>
        <w:rPr>
          <w:rFonts w:hint="eastAsia" w:ascii="黑体" w:hAnsi="黑体" w:eastAsia="黑体" w:cs="黑体"/>
          <w:color w:val="000000"/>
          <w:sz w:val="32"/>
          <w:lang w:val="en-US" w:eastAsia="zh-CN"/>
        </w:rPr>
      </w:pPr>
    </w:p>
    <w:p>
      <w:pPr>
        <w:numPr>
          <w:ilvl w:val="0"/>
          <w:numId w:val="0"/>
        </w:numPr>
        <w:spacing w:before="10" w:after="10" w:line="240" w:lineRule="auto"/>
        <w:ind w:left="640" w:leftChars="0"/>
        <w:jc w:val="both"/>
        <w:outlineLvl w:val="0"/>
        <w:rPr>
          <w:rFonts w:ascii="黑体" w:hAnsi="黑体" w:eastAsia="黑体" w:cs="黑体"/>
          <w:color w:val="000000"/>
          <w:sz w:val="32"/>
        </w:rPr>
      </w:pPr>
      <w:r>
        <w:rPr>
          <w:rFonts w:hint="eastAsia" w:ascii="黑体" w:hAnsi="黑体" w:eastAsia="黑体" w:cs="黑体"/>
          <w:color w:val="000000"/>
          <w:sz w:val="32"/>
          <w:lang w:val="en-US" w:eastAsia="zh-CN"/>
        </w:rPr>
        <w:t>五、</w:t>
      </w:r>
      <w:r>
        <w:rPr>
          <w:rFonts w:ascii="黑体" w:hAnsi="黑体" w:eastAsia="黑体" w:cs="黑体"/>
          <w:color w:val="000000"/>
          <w:sz w:val="32"/>
        </w:rPr>
        <w:t>预算绩效信息</w:t>
      </w:r>
    </w:p>
    <w:p>
      <w:pPr>
        <w:spacing w:before="0" w:after="0" w:line="240" w:lineRule="auto"/>
        <w:ind w:firstLine="640"/>
        <w:jc w:val="both"/>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both"/>
        <w:outlineLvl w:val="9"/>
      </w:pPr>
      <w:r>
        <w:rPr>
          <w:rFonts w:ascii="Times New Roman" w:hAnsi="Times New Roman" w:eastAsia="方正仿宋_GBK" w:cs="Times New Roman"/>
          <w:color w:val="000000"/>
          <w:sz w:val="28"/>
        </w:rPr>
        <w:t>（一）总体绩效目标</w:t>
      </w:r>
    </w:p>
    <w:p>
      <w:pPr>
        <w:pStyle w:val="25"/>
        <w:jc w:val="both"/>
      </w:pPr>
      <w:r>
        <w:t>发展生产、供销、信用“三位一体”综合合作，深化供销社综合改革，完善体制机制，拓展服务领域，加快建立服务农民生产生活的综合平台，努力为推进乡村振兴贡献力量，成为与农民联结更紧密、为农服务功能更完备、市场化运行更高效的合作经济组织体系。进一步扩大霸州市农村产权交易规模，引导广大农民入市交易，加强农村产权交易中心运营工作。做好省农服公司同乡镇的沟通协调工作，确保年底前完成12个村街高标准农田建设任务。做好食盐应急储备，保证全市盐产品正常供应。管理运营本级社有资产，确保社有资产保值增值，化解金融风险。负责机关及直属单位党建、精神文明建设和政治思想工作，成为党和政府密切联系农民群众的桥梁纽带，切实在农业现代化建设中更好地发挥作用。</w:t>
      </w:r>
    </w:p>
    <w:p>
      <w:pPr>
        <w:spacing w:before="0" w:after="0" w:line="500" w:lineRule="exact"/>
        <w:ind w:firstLine="560"/>
        <w:jc w:val="both"/>
        <w:outlineLvl w:val="9"/>
      </w:pPr>
      <w:r>
        <w:rPr>
          <w:rFonts w:ascii="Times New Roman" w:hAnsi="Times New Roman" w:eastAsia="方正仿宋_GBK" w:cs="Times New Roman"/>
          <w:color w:val="000000"/>
          <w:sz w:val="28"/>
        </w:rPr>
        <w:t>（二）分项绩效目标</w:t>
      </w:r>
    </w:p>
    <w:p>
      <w:pPr>
        <w:pStyle w:val="26"/>
        <w:jc w:val="both"/>
      </w:pPr>
      <w:r>
        <w:t>（一）扩大霸州市农村产权交易规模</w:t>
      </w:r>
    </w:p>
    <w:p>
      <w:pPr>
        <w:pStyle w:val="26"/>
        <w:jc w:val="both"/>
      </w:pPr>
      <w:r>
        <w:t>绩效目标：扩大霸州市农村产权交易规模，引导广大农民入市交易，加强农村产权交易中心运营工作。</w:t>
      </w:r>
    </w:p>
    <w:p>
      <w:pPr>
        <w:pStyle w:val="26"/>
        <w:jc w:val="both"/>
      </w:pPr>
      <w:r>
        <w:t>绩效指标：大力开展农村产权交易宣传，引导农村集体资产、建设项目和农村集体采购项目入市交易，全年产权业务交易额突破2000万。</w:t>
      </w:r>
    </w:p>
    <w:p>
      <w:pPr>
        <w:pStyle w:val="26"/>
        <w:jc w:val="both"/>
      </w:pPr>
      <w:r>
        <w:t>（二）确保全市食盐市场供应安全</w:t>
      </w:r>
    </w:p>
    <w:p>
      <w:pPr>
        <w:pStyle w:val="26"/>
        <w:jc w:val="both"/>
      </w:pPr>
      <w:r>
        <w:t>绩效目标：保证全市盐产品正常供应。</w:t>
      </w:r>
    </w:p>
    <w:p>
      <w:pPr>
        <w:pStyle w:val="26"/>
        <w:jc w:val="both"/>
      </w:pPr>
      <w:r>
        <w:t>绩效指标：完成应急储备食盐488吨，保证储备充足，按时补充损耗，应对发生重大自然灾害或者其他突发公共事件，有效发挥储备食盐在宏观调控中的作用。</w:t>
      </w:r>
    </w:p>
    <w:p>
      <w:pPr>
        <w:pStyle w:val="26"/>
        <w:jc w:val="both"/>
      </w:pPr>
      <w:r>
        <w:t>（三）继续开展农村土地托管业务</w:t>
      </w:r>
    </w:p>
    <w:p>
      <w:pPr>
        <w:pStyle w:val="26"/>
        <w:jc w:val="both"/>
      </w:pPr>
      <w:r>
        <w:t>绩效目标：配合省农服公司做好土地托管工作。</w:t>
      </w:r>
    </w:p>
    <w:p>
      <w:pPr>
        <w:pStyle w:val="26"/>
        <w:jc w:val="both"/>
      </w:pPr>
      <w:r>
        <w:t>绩效指标：配合省农服公司做好已流转土地的种植管理工作。同时继续扩大土地流转规模，全年新增土地托管面积1000亩以上。</w:t>
      </w:r>
    </w:p>
    <w:p>
      <w:pPr>
        <w:pStyle w:val="26"/>
        <w:jc w:val="both"/>
      </w:pPr>
      <w:r>
        <w:t>（四）做好霸州市高标准农田项目</w:t>
      </w:r>
    </w:p>
    <w:p>
      <w:pPr>
        <w:pStyle w:val="26"/>
        <w:jc w:val="both"/>
      </w:pPr>
      <w:r>
        <w:t>绩效目标：完成全市1万亩高标准农田建设任务。</w:t>
      </w:r>
    </w:p>
    <w:p>
      <w:pPr>
        <w:pStyle w:val="26"/>
        <w:jc w:val="both"/>
      </w:pPr>
      <w:r>
        <w:t>绩效指标：做好省农服公司同乡镇的沟通协调工作，确保年底前完成12个村街高标准农田建设任务。</w:t>
      </w:r>
    </w:p>
    <w:p>
      <w:pPr>
        <w:pStyle w:val="26"/>
        <w:jc w:val="both"/>
      </w:pPr>
      <w:r>
        <w:t>（五）监督和管理社有资产</w:t>
      </w:r>
    </w:p>
    <w:p>
      <w:pPr>
        <w:pStyle w:val="26"/>
        <w:jc w:val="both"/>
      </w:pPr>
      <w:r>
        <w:t>绩效目标：确保社有资产保值增值，化解金融风险。</w:t>
      </w:r>
    </w:p>
    <w:p>
      <w:pPr>
        <w:pStyle w:val="26"/>
        <w:jc w:val="both"/>
      </w:pPr>
      <w:r>
        <w:t>绩效指标： 每半年开展1次社有资产清查。</w:t>
      </w:r>
    </w:p>
    <w:p>
      <w:pPr>
        <w:pStyle w:val="26"/>
        <w:jc w:val="both"/>
      </w:pPr>
      <w:r>
        <w:t>（六）供销系统安全稳定</w:t>
      </w:r>
    </w:p>
    <w:p>
      <w:pPr>
        <w:pStyle w:val="26"/>
        <w:jc w:val="both"/>
      </w:pPr>
      <w:r>
        <w:t>绩效目标：加强各项安全防范责任和措施，全年无重特大事故发生。</w:t>
      </w:r>
    </w:p>
    <w:p>
      <w:pPr>
        <w:pStyle w:val="26"/>
        <w:jc w:val="both"/>
      </w:pPr>
      <w:r>
        <w:t>绩效指标：严格按照“党政同责”“一岗双责”和“三个必须”的要求，把责任落到每个环节，坚决执行领导安全责任包联制度，随时对供销全系统开展安全生产检查。</w:t>
      </w:r>
    </w:p>
    <w:p>
      <w:pPr>
        <w:spacing w:before="0" w:after="0" w:line="500" w:lineRule="exact"/>
        <w:ind w:firstLine="560"/>
        <w:jc w:val="both"/>
        <w:outlineLvl w:val="9"/>
      </w:pPr>
      <w:r>
        <w:rPr>
          <w:rFonts w:ascii="Times New Roman" w:hAnsi="Times New Roman" w:eastAsia="方正仿宋_GBK" w:cs="Times New Roman"/>
          <w:color w:val="000000"/>
          <w:sz w:val="28"/>
        </w:rPr>
        <w:t>（三）工作保障措施</w:t>
      </w:r>
    </w:p>
    <w:p>
      <w:pPr>
        <w:pStyle w:val="27"/>
        <w:jc w:val="both"/>
      </w:pPr>
      <w:r>
        <w:t>（一）完善制度建设。包括制定完善预算绩效管理制度，资金管理办法、工作保障制度等，为全年预算绩效目标的实现奠定制度基础。</w:t>
      </w:r>
    </w:p>
    <w:p>
      <w:pPr>
        <w:pStyle w:val="27"/>
        <w:jc w:val="both"/>
      </w:pPr>
      <w:r>
        <w:t>（二）加强支出管理。通过优化支出结构、编细编实预算、加快履行政府采购手续、尽快启动项目、及时支付资金、6月底前细化代编预算、按规定及时下达资金等多种措施，确保支出进度达标。</w:t>
      </w:r>
    </w:p>
    <w:p>
      <w:pPr>
        <w:pStyle w:val="27"/>
        <w:jc w:val="both"/>
      </w:pPr>
      <w:r>
        <w:t>（三）加强绩效运行监控。按要求开展绩效运行监控，发现问题及时采取措施，确保绩效目标如期保质实现。</w:t>
      </w:r>
    </w:p>
    <w:p>
      <w:pPr>
        <w:pStyle w:val="27"/>
        <w:jc w:val="both"/>
      </w:pPr>
      <w:r>
        <w:t>（四）做好绩效自评。按要求开展上年度</w:t>
      </w:r>
      <w:r>
        <w:rPr>
          <w:rFonts w:hint="eastAsia"/>
          <w:highlight w:val="none"/>
          <w:lang w:val="en-US" w:eastAsia="zh-CN"/>
        </w:rPr>
        <w:t>单位</w:t>
      </w:r>
      <w:r>
        <w:t>预算绩效自评和重点评价工作，对评价中发现的问题及时整改，调整优化支出结构，提高财政资金使用效益。</w:t>
      </w:r>
    </w:p>
    <w:p>
      <w:pPr>
        <w:pStyle w:val="27"/>
        <w:jc w:val="both"/>
      </w:pPr>
      <w:r>
        <w:t>（五）规范财务资产管理。完善财务管理制度，严格审批程序，加强固定资产登记、使用和报废处置管理，做到支出合理，物尽其用。</w:t>
      </w:r>
    </w:p>
    <w:p>
      <w:pPr>
        <w:pStyle w:val="27"/>
        <w:jc w:val="both"/>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7"/>
        <w:jc w:val="both"/>
      </w:pPr>
      <w:r>
        <w:t>（七）加强宣传培训调研等。加强人员培训，提高本</w:t>
      </w:r>
      <w:r>
        <w:rPr>
          <w:rFonts w:hint="eastAsia"/>
          <w:highlight w:val="none"/>
          <w:lang w:val="en-US" w:eastAsia="zh-CN"/>
        </w:rPr>
        <w:t>单位</w:t>
      </w:r>
      <w:r>
        <w:t>职工业务素质；加强调研，提出优化财政资金配置、提高资金使用效益的意见;加大宣传力度，强化预算绩效管理意识，促进预算绩效管理水平进一步提升。</w:t>
      </w:r>
    </w:p>
    <w:p>
      <w:pPr>
        <w:numPr>
          <w:ilvl w:val="0"/>
          <w:numId w:val="0"/>
        </w:numPr>
        <w:spacing w:before="10" w:after="10" w:line="240" w:lineRule="auto"/>
        <w:jc w:val="left"/>
        <w:outlineLvl w:val="5"/>
        <w:rPr>
          <w:rFonts w:ascii="黑体" w:hAnsi="黑体" w:eastAsia="黑体" w:cs="黑体"/>
          <w:color w:val="000000"/>
          <w:sz w:val="32"/>
        </w:rPr>
      </w:pPr>
    </w:p>
    <w:p>
      <w:pPr>
        <w:spacing w:before="0" w:after="0" w:line="240" w:lineRule="auto"/>
        <w:ind w:firstLine="640"/>
        <w:jc w:val="left"/>
        <w:outlineLvl w:val="9"/>
        <w:rPr>
          <w:rFonts w:ascii="方正仿宋_GBK" w:hAnsi="方正仿宋_GBK" w:eastAsia="方正仿宋_GBK" w:cs="方正仿宋_GBK"/>
          <w:b/>
          <w:color w:val="000000"/>
          <w:sz w:val="28"/>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w:t>
      </w:r>
    </w:p>
    <w:p>
      <w:pPr>
        <w:spacing w:before="0" w:after="0"/>
        <w:ind w:firstLine="560"/>
        <w:jc w:val="left"/>
        <w:outlineLvl w:val="9"/>
      </w:pPr>
      <w:r>
        <w:rPr>
          <w:rFonts w:ascii="方正仿宋_GBK" w:hAnsi="方正仿宋_GBK" w:eastAsia="方正仿宋_GBK" w:cs="方正仿宋_GBK"/>
          <w:b/>
          <w:color w:val="000000"/>
          <w:sz w:val="28"/>
        </w:rPr>
        <w:t>1、霸州市农村产权交易中心运转经费绩效目标表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善服务站、点制度，与县级平台做好对接，形成县、乡、村三级网络平台；做好三级网络平台工作人员培训工作，使工作人员熟练掌握交易流程和操作规范。做好宣传工作，让更多人了解、关注产权交易平台；鼓励、引导个人产权，规范农村集体产权、项目进入平台交易，交易额500万元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完成总量</w:t>
            </w:r>
          </w:p>
        </w:tc>
        <w:tc>
          <w:tcPr>
            <w:tcW w:w="2835" w:type="dxa"/>
            <w:vAlign w:val="center"/>
          </w:tcPr>
          <w:p>
            <w:pPr>
              <w:pStyle w:val="16"/>
            </w:pPr>
            <w:r>
              <w:t>通过产权交易中心交易的总金额</w:t>
            </w:r>
          </w:p>
        </w:tc>
        <w:tc>
          <w:tcPr>
            <w:tcW w:w="2551" w:type="dxa"/>
            <w:vAlign w:val="center"/>
          </w:tcPr>
          <w:p>
            <w:pPr>
              <w:pStyle w:val="16"/>
            </w:pPr>
            <w:r>
              <w:t>≥500万元</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宣传覆盖率</w:t>
            </w:r>
          </w:p>
        </w:tc>
        <w:tc>
          <w:tcPr>
            <w:tcW w:w="2835" w:type="dxa"/>
            <w:vAlign w:val="center"/>
          </w:tcPr>
          <w:p>
            <w:pPr>
              <w:pStyle w:val="16"/>
            </w:pPr>
            <w:r>
              <w:t>实际宣传村街占全市村街比例</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各项工作按时完成率</w:t>
            </w:r>
          </w:p>
        </w:tc>
        <w:tc>
          <w:tcPr>
            <w:tcW w:w="2835" w:type="dxa"/>
            <w:vAlign w:val="center"/>
          </w:tcPr>
          <w:p>
            <w:pPr>
              <w:pStyle w:val="16"/>
            </w:pPr>
            <w:r>
              <w:t>各项工作按时完成率</w:t>
            </w:r>
          </w:p>
        </w:tc>
        <w:tc>
          <w:tcPr>
            <w:tcW w:w="2551" w:type="dxa"/>
            <w:vAlign w:val="center"/>
          </w:tcPr>
          <w:p>
            <w:pPr>
              <w:pStyle w:val="16"/>
            </w:pPr>
            <w:r>
              <w:t>≥90%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各项成本支出率</w:t>
            </w:r>
          </w:p>
        </w:tc>
        <w:tc>
          <w:tcPr>
            <w:tcW w:w="2835" w:type="dxa"/>
            <w:vAlign w:val="center"/>
          </w:tcPr>
          <w:p>
            <w:pPr>
              <w:pStyle w:val="16"/>
            </w:pPr>
            <w:r>
              <w:t>各项工作实际支出占预算支出的比例</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整合村级土地资源</w:t>
            </w:r>
          </w:p>
        </w:tc>
        <w:tc>
          <w:tcPr>
            <w:tcW w:w="2835" w:type="dxa"/>
            <w:vAlign w:val="center"/>
          </w:tcPr>
          <w:p>
            <w:pPr>
              <w:pStyle w:val="16"/>
            </w:pPr>
            <w:r>
              <w:t>通过产权交易整合村级零散土地，形成规模化</w:t>
            </w:r>
          </w:p>
        </w:tc>
        <w:tc>
          <w:tcPr>
            <w:tcW w:w="2551" w:type="dxa"/>
            <w:vAlign w:val="center"/>
          </w:tcPr>
          <w:p>
            <w:pPr>
              <w:pStyle w:val="16"/>
            </w:pPr>
            <w:r>
              <w:t>≥1000亩</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平台持续发挥作用时间</w:t>
            </w:r>
          </w:p>
        </w:tc>
        <w:tc>
          <w:tcPr>
            <w:tcW w:w="2835" w:type="dxa"/>
            <w:vAlign w:val="center"/>
          </w:tcPr>
          <w:p>
            <w:pPr>
              <w:pStyle w:val="16"/>
            </w:pPr>
            <w:r>
              <w:t>平台持续发挥作用时间</w:t>
            </w:r>
          </w:p>
        </w:tc>
        <w:tc>
          <w:tcPr>
            <w:tcW w:w="2551" w:type="dxa"/>
            <w:vAlign w:val="center"/>
          </w:tcPr>
          <w:p>
            <w:pPr>
              <w:pStyle w:val="16"/>
            </w:pPr>
            <w:r>
              <w:t>≥3年</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群众满意率</w:t>
            </w:r>
          </w:p>
        </w:tc>
        <w:tc>
          <w:tcPr>
            <w:tcW w:w="2835" w:type="dxa"/>
            <w:vAlign w:val="center"/>
          </w:tcPr>
          <w:p>
            <w:pPr>
              <w:pStyle w:val="16"/>
            </w:pPr>
            <w:r>
              <w:t>群众满意人数占全部调查人数的比例</w:t>
            </w:r>
          </w:p>
        </w:tc>
        <w:tc>
          <w:tcPr>
            <w:tcW w:w="2551" w:type="dxa"/>
            <w:vAlign w:val="center"/>
          </w:tcPr>
          <w:p>
            <w:pPr>
              <w:pStyle w:val="16"/>
            </w:pPr>
            <w:r>
              <w:t>≥95%</w:t>
            </w:r>
          </w:p>
        </w:tc>
        <w:tc>
          <w:tcPr>
            <w:tcW w:w="2268" w:type="dxa"/>
            <w:vAlign w:val="center"/>
          </w:tcPr>
          <w:p>
            <w:pPr>
              <w:pStyle w:val="16"/>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2、霸州市油棉厂职工养老保险费用绩效目标表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1.通过及时缴纳霸州市油棉厂职工2023年养老保险，确保不出现拖欠情况，避免造成不必要的信访隐患。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养老缴费人数（位）</w:t>
            </w:r>
          </w:p>
        </w:tc>
        <w:tc>
          <w:tcPr>
            <w:tcW w:w="2835" w:type="dxa"/>
            <w:vAlign w:val="center"/>
          </w:tcPr>
          <w:p>
            <w:pPr>
              <w:pStyle w:val="16"/>
            </w:pPr>
            <w:r>
              <w:t>为霸州油棉厂2023年养老保险人数</w:t>
            </w:r>
          </w:p>
        </w:tc>
        <w:tc>
          <w:tcPr>
            <w:tcW w:w="2551" w:type="dxa"/>
            <w:vAlign w:val="center"/>
          </w:tcPr>
          <w:p>
            <w:pPr>
              <w:pStyle w:val="16"/>
            </w:pPr>
            <w:r>
              <w:t>47位</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养老保险缴纳金额（元）</w:t>
            </w:r>
          </w:p>
        </w:tc>
        <w:tc>
          <w:tcPr>
            <w:tcW w:w="2835" w:type="dxa"/>
            <w:vAlign w:val="center"/>
          </w:tcPr>
          <w:p>
            <w:pPr>
              <w:pStyle w:val="16"/>
            </w:pPr>
            <w:r>
              <w:t>缴纳养老保险总金额</w:t>
            </w:r>
          </w:p>
        </w:tc>
        <w:tc>
          <w:tcPr>
            <w:tcW w:w="2551" w:type="dxa"/>
            <w:vAlign w:val="center"/>
          </w:tcPr>
          <w:p>
            <w:pPr>
              <w:pStyle w:val="16"/>
            </w:pPr>
            <w:r>
              <w:t>36.06万元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资金拨付时间（月）</w:t>
            </w:r>
          </w:p>
        </w:tc>
        <w:tc>
          <w:tcPr>
            <w:tcW w:w="2835" w:type="dxa"/>
            <w:vAlign w:val="center"/>
          </w:tcPr>
          <w:p>
            <w:pPr>
              <w:pStyle w:val="16"/>
            </w:pPr>
            <w:r>
              <w:t>2023年12月底之前支出</w:t>
            </w:r>
          </w:p>
        </w:tc>
        <w:tc>
          <w:tcPr>
            <w:tcW w:w="2551" w:type="dxa"/>
            <w:vAlign w:val="center"/>
          </w:tcPr>
          <w:p>
            <w:pPr>
              <w:pStyle w:val="16"/>
            </w:pPr>
            <w:r>
              <w:t>≤12月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资金发放率（％）</w:t>
            </w:r>
          </w:p>
        </w:tc>
        <w:tc>
          <w:tcPr>
            <w:tcW w:w="2835" w:type="dxa"/>
            <w:vAlign w:val="center"/>
          </w:tcPr>
          <w:p>
            <w:pPr>
              <w:pStyle w:val="16"/>
            </w:pPr>
            <w:r>
              <w:t>实际发放金额占应发放金额的比例</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职工上访次数（次）</w:t>
            </w:r>
          </w:p>
        </w:tc>
        <w:tc>
          <w:tcPr>
            <w:tcW w:w="2835" w:type="dxa"/>
            <w:vAlign w:val="center"/>
          </w:tcPr>
          <w:p>
            <w:pPr>
              <w:pStyle w:val="16"/>
            </w:pPr>
            <w:r>
              <w:t>资金发放到位后，职工上访次数</w:t>
            </w:r>
          </w:p>
        </w:tc>
        <w:tc>
          <w:tcPr>
            <w:tcW w:w="2551" w:type="dxa"/>
            <w:vAlign w:val="center"/>
          </w:tcPr>
          <w:p>
            <w:pPr>
              <w:pStyle w:val="16"/>
            </w:pPr>
            <w:r>
              <w:t>0次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受益群众满意率（％）</w:t>
            </w:r>
          </w:p>
        </w:tc>
        <w:tc>
          <w:tcPr>
            <w:tcW w:w="2835" w:type="dxa"/>
            <w:vAlign w:val="center"/>
          </w:tcPr>
          <w:p>
            <w:pPr>
              <w:pStyle w:val="16"/>
            </w:pPr>
            <w:r>
              <w:t>经调查，油棉厂职工满意人数占调查总人数</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3、霸州市油棉厂职工医疗保险费用绩效目标表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1.通过确保霸州市油棉厂47位在职职工缴纳2023年医疗保险，确保不出现拖欠情况，避免造成不必要的信访隐患。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医疗缴费人数（位）</w:t>
            </w:r>
          </w:p>
        </w:tc>
        <w:tc>
          <w:tcPr>
            <w:tcW w:w="2835" w:type="dxa"/>
            <w:vAlign w:val="center"/>
          </w:tcPr>
          <w:p>
            <w:pPr>
              <w:pStyle w:val="16"/>
            </w:pPr>
            <w:r>
              <w:t>为霸州市油棉厂缴纳2023年医疗保险人数</w:t>
            </w:r>
          </w:p>
        </w:tc>
        <w:tc>
          <w:tcPr>
            <w:tcW w:w="2551" w:type="dxa"/>
            <w:vAlign w:val="center"/>
          </w:tcPr>
          <w:p>
            <w:pPr>
              <w:pStyle w:val="16"/>
            </w:pPr>
            <w:r>
              <w:t>47为位</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医疗保险缴费金额（元）</w:t>
            </w:r>
          </w:p>
        </w:tc>
        <w:tc>
          <w:tcPr>
            <w:tcW w:w="2835" w:type="dxa"/>
            <w:vAlign w:val="center"/>
          </w:tcPr>
          <w:p>
            <w:pPr>
              <w:pStyle w:val="16"/>
            </w:pPr>
            <w:r>
              <w:t>缴纳医疗保险总金额</w:t>
            </w:r>
          </w:p>
        </w:tc>
        <w:tc>
          <w:tcPr>
            <w:tcW w:w="2551" w:type="dxa"/>
            <w:vAlign w:val="center"/>
          </w:tcPr>
          <w:p>
            <w:pPr>
              <w:pStyle w:val="16"/>
            </w:pPr>
            <w:r>
              <w:t>28.64万元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资金拨付时间（月）</w:t>
            </w:r>
          </w:p>
        </w:tc>
        <w:tc>
          <w:tcPr>
            <w:tcW w:w="2835" w:type="dxa"/>
            <w:vAlign w:val="center"/>
          </w:tcPr>
          <w:p>
            <w:pPr>
              <w:pStyle w:val="16"/>
            </w:pPr>
            <w:r>
              <w:t>2023年12月底之前支出</w:t>
            </w:r>
          </w:p>
        </w:tc>
        <w:tc>
          <w:tcPr>
            <w:tcW w:w="2551" w:type="dxa"/>
            <w:vAlign w:val="center"/>
          </w:tcPr>
          <w:p>
            <w:pPr>
              <w:pStyle w:val="16"/>
            </w:pPr>
            <w:r>
              <w:t>≤12月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资金发放率</w:t>
            </w:r>
          </w:p>
          <w:p>
            <w:pPr>
              <w:pStyle w:val="16"/>
            </w:pPr>
            <w:r>
              <w:t>（％）</w:t>
            </w:r>
          </w:p>
        </w:tc>
        <w:tc>
          <w:tcPr>
            <w:tcW w:w="2835" w:type="dxa"/>
            <w:vAlign w:val="center"/>
          </w:tcPr>
          <w:p>
            <w:pPr>
              <w:pStyle w:val="16"/>
            </w:pPr>
            <w:r>
              <w:t>实际发放金额占应发</w:t>
            </w:r>
          </w:p>
          <w:p>
            <w:pPr>
              <w:pStyle w:val="16"/>
            </w:pPr>
            <w:r>
              <w:t>放金额的比例</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职工上访次数（次）</w:t>
            </w:r>
          </w:p>
        </w:tc>
        <w:tc>
          <w:tcPr>
            <w:tcW w:w="2835" w:type="dxa"/>
            <w:vAlign w:val="center"/>
          </w:tcPr>
          <w:p>
            <w:pPr>
              <w:pStyle w:val="16"/>
            </w:pPr>
            <w:r>
              <w:t>资金发放到位后，职工</w:t>
            </w:r>
          </w:p>
          <w:p>
            <w:pPr>
              <w:pStyle w:val="16"/>
            </w:pPr>
            <w:r>
              <w:t>上访次数</w:t>
            </w:r>
          </w:p>
        </w:tc>
        <w:tc>
          <w:tcPr>
            <w:tcW w:w="2551" w:type="dxa"/>
            <w:vAlign w:val="center"/>
          </w:tcPr>
          <w:p>
            <w:pPr>
              <w:pStyle w:val="16"/>
            </w:pPr>
            <w:r>
              <w:t>0次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受益群众满意率（％）</w:t>
            </w:r>
          </w:p>
        </w:tc>
        <w:tc>
          <w:tcPr>
            <w:tcW w:w="2835" w:type="dxa"/>
            <w:vAlign w:val="center"/>
          </w:tcPr>
          <w:p>
            <w:pPr>
              <w:pStyle w:val="16"/>
            </w:pPr>
            <w:r>
              <w:t>经调查，油棉厂职工满意人数占调查总人数</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4、市级食盐储备库运转资金绩效目标表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全市人民提供安全合格的食用盐，加强食盐储备管理，保证储备食盐数量真实、质量良好、储存安全,维护食盐市场稳定，保障食盐供应，常年食盐储备总量488吨,应对发生重大自然灾害或者其他突发公共事件，有效发挥储备食盐在宏观调控中的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日常食盐储备数量</w:t>
            </w:r>
          </w:p>
        </w:tc>
        <w:tc>
          <w:tcPr>
            <w:tcW w:w="2835" w:type="dxa"/>
            <w:vAlign w:val="center"/>
          </w:tcPr>
          <w:p>
            <w:pPr>
              <w:pStyle w:val="16"/>
            </w:pPr>
            <w:r>
              <w:t>盐业公司日常食盐储备保持488吨以上，保障霸州市市民2个月的使用量。</w:t>
            </w:r>
          </w:p>
        </w:tc>
        <w:tc>
          <w:tcPr>
            <w:tcW w:w="2551" w:type="dxa"/>
            <w:vAlign w:val="center"/>
          </w:tcPr>
          <w:p>
            <w:pPr>
              <w:pStyle w:val="16"/>
            </w:pPr>
            <w:r>
              <w:t>≥488吨</w:t>
            </w:r>
          </w:p>
        </w:tc>
        <w:tc>
          <w:tcPr>
            <w:tcW w:w="2268" w:type="dxa"/>
            <w:vAlign w:val="center"/>
          </w:tcPr>
          <w:p>
            <w:pPr>
              <w:pStyle w:val="16"/>
            </w:pPr>
            <w:r>
              <w:t>霸州市食盐储备管理办法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储备食盐盘点次数</w:t>
            </w:r>
          </w:p>
        </w:tc>
        <w:tc>
          <w:tcPr>
            <w:tcW w:w="2835" w:type="dxa"/>
            <w:vAlign w:val="center"/>
          </w:tcPr>
          <w:p>
            <w:pPr>
              <w:pStyle w:val="16"/>
            </w:pPr>
            <w:r>
              <w:t>盐业公司食盐储备保持做到每天盘点结存一次仓库。</w:t>
            </w:r>
          </w:p>
        </w:tc>
        <w:tc>
          <w:tcPr>
            <w:tcW w:w="2551" w:type="dxa"/>
            <w:vAlign w:val="center"/>
          </w:tcPr>
          <w:p>
            <w:pPr>
              <w:pStyle w:val="16"/>
            </w:pPr>
            <w:r>
              <w:t>≥22次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储备食盐质量完好率</w:t>
            </w:r>
          </w:p>
        </w:tc>
        <w:tc>
          <w:tcPr>
            <w:tcW w:w="2835" w:type="dxa"/>
            <w:vAlign w:val="center"/>
          </w:tcPr>
          <w:p>
            <w:pPr>
              <w:pStyle w:val="16"/>
            </w:pPr>
            <w:r>
              <w:t>储备食盐数损耗与储备总量的比例。</w:t>
            </w:r>
          </w:p>
        </w:tc>
        <w:tc>
          <w:tcPr>
            <w:tcW w:w="2551" w:type="dxa"/>
            <w:vAlign w:val="center"/>
          </w:tcPr>
          <w:p>
            <w:pPr>
              <w:pStyle w:val="16"/>
            </w:pPr>
            <w:r>
              <w:t>≤0.1%</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储备食盐轮换周期</w:t>
            </w:r>
          </w:p>
        </w:tc>
        <w:tc>
          <w:tcPr>
            <w:tcW w:w="2835" w:type="dxa"/>
            <w:vAlign w:val="center"/>
          </w:tcPr>
          <w:p>
            <w:pPr>
              <w:pStyle w:val="16"/>
            </w:pPr>
            <w:r>
              <w:t>储备食盐轮换量占食盐储备总量的比例</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储备食盐成本控制率</w:t>
            </w:r>
          </w:p>
        </w:tc>
        <w:tc>
          <w:tcPr>
            <w:tcW w:w="2835" w:type="dxa"/>
            <w:vAlign w:val="center"/>
          </w:tcPr>
          <w:p>
            <w:pPr>
              <w:pStyle w:val="16"/>
            </w:pPr>
            <w:r>
              <w:t>储备食盐成本占预算成本的数量</w:t>
            </w:r>
          </w:p>
        </w:tc>
        <w:tc>
          <w:tcPr>
            <w:tcW w:w="2551" w:type="dxa"/>
            <w:vAlign w:val="center"/>
          </w:tcPr>
          <w:p>
            <w:pPr>
              <w:pStyle w:val="16"/>
            </w:pPr>
            <w:r>
              <w:t>24万元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储备食盐应急保障率</w:t>
            </w:r>
          </w:p>
        </w:tc>
        <w:tc>
          <w:tcPr>
            <w:tcW w:w="2835" w:type="dxa"/>
            <w:vAlign w:val="center"/>
          </w:tcPr>
          <w:p>
            <w:pPr>
              <w:pStyle w:val="16"/>
            </w:pPr>
            <w:r>
              <w:t>储备食盐实际应急供应量占计划应急供应量。</w:t>
            </w:r>
          </w:p>
        </w:tc>
        <w:tc>
          <w:tcPr>
            <w:tcW w:w="2551" w:type="dxa"/>
            <w:vAlign w:val="center"/>
          </w:tcPr>
          <w:p>
            <w:pPr>
              <w:pStyle w:val="16"/>
            </w:pPr>
            <w:r>
              <w:t>100%</w:t>
            </w:r>
          </w:p>
        </w:tc>
        <w:tc>
          <w:tcPr>
            <w:tcW w:w="2268" w:type="dxa"/>
            <w:vAlign w:val="center"/>
          </w:tcPr>
          <w:p>
            <w:pPr>
              <w:pStyle w:val="16"/>
            </w:pPr>
            <w:r>
              <w:t>霸州市食盐储备管理办法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使用人员满意率</w:t>
            </w:r>
          </w:p>
        </w:tc>
        <w:tc>
          <w:tcPr>
            <w:tcW w:w="2835" w:type="dxa"/>
            <w:vAlign w:val="center"/>
          </w:tcPr>
          <w:p>
            <w:pPr>
              <w:pStyle w:val="16"/>
            </w:pPr>
            <w:r>
              <w:t>经调查，全市人民使用放心盐满意的人数占总调查人数的比例。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both"/>
        <w:outlineLvl w:val="0"/>
      </w:pPr>
      <w:r>
        <w:rPr>
          <w:rFonts w:ascii="黑体" w:hAnsi="黑体" w:eastAsia="黑体" w:cs="黑体"/>
          <w:color w:val="000000"/>
          <w:sz w:val="32"/>
        </w:rPr>
        <w:t>六、政府采购预算情况</w:t>
      </w:r>
    </w:p>
    <w:p>
      <w:pPr>
        <w:spacing w:before="0" w:after="0" w:line="500" w:lineRule="exact"/>
        <w:ind w:firstLine="560"/>
        <w:jc w:val="both"/>
        <w:outlineLvl w:val="9"/>
      </w:pPr>
      <w:r>
        <w:rPr>
          <w:rFonts w:ascii="Times New Roman" w:hAnsi="Times New Roman" w:eastAsia="方正仿宋_GBK" w:cs="Times New Roman"/>
          <w:b w:val="0"/>
          <w:color w:val="000000"/>
          <w:sz w:val="28"/>
        </w:rPr>
        <w:t>2023年，霸州市供销合作社联合社本级安排政府采购预算51.00万元。具体内容见下表。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907001霸州市供销合作社联合社本级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w:t>
            </w:r>
            <w:r>
              <w:rPr>
                <w:rFonts w:hint="eastAsia"/>
                <w:lang w:val="en-US" w:eastAsia="zh-CN"/>
              </w:rPr>
              <w:t>单位</w:t>
            </w:r>
            <w:r>
              <w:t>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51.00</w:t>
            </w:r>
          </w:p>
        </w:tc>
        <w:tc>
          <w:tcPr>
            <w:tcW w:w="964" w:type="dxa"/>
            <w:vAlign w:val="center"/>
          </w:tcPr>
          <w:p>
            <w:pPr>
              <w:pStyle w:val="19"/>
            </w:pPr>
            <w:r>
              <w:t>51.00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霸州市供销合作社联合社本级小计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51.00</w:t>
            </w:r>
          </w:p>
        </w:tc>
        <w:tc>
          <w:tcPr>
            <w:tcW w:w="964" w:type="dxa"/>
            <w:vAlign w:val="center"/>
          </w:tcPr>
          <w:p>
            <w:pPr>
              <w:pStyle w:val="19"/>
            </w:pPr>
            <w:r>
              <w:t>51.00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霸州市农村产权交易中心运转经费</w:t>
            </w:r>
          </w:p>
        </w:tc>
        <w:tc>
          <w:tcPr>
            <w:tcW w:w="964" w:type="dxa"/>
            <w:vAlign w:val="center"/>
          </w:tcPr>
          <w:p>
            <w:pPr>
              <w:pStyle w:val="15"/>
            </w:pPr>
            <w:r>
              <w:t>51.00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51.00</w:t>
            </w:r>
          </w:p>
        </w:tc>
        <w:tc>
          <w:tcPr>
            <w:tcW w:w="964" w:type="dxa"/>
            <w:vAlign w:val="center"/>
          </w:tcPr>
          <w:p>
            <w:pPr>
              <w:pStyle w:val="15"/>
            </w:pPr>
            <w:r>
              <w:t>51.00</w:t>
            </w:r>
          </w:p>
        </w:tc>
        <w:tc>
          <w:tcPr>
            <w:tcW w:w="964" w:type="dxa"/>
            <w:vAlign w:val="center"/>
          </w:tcPr>
          <w:p>
            <w:pPr>
              <w:pStyle w:val="15"/>
            </w:pPr>
            <w:r>
              <w:t>51.00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51.00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霸州市供销合作社联合社本级上年末固定资产金额为0.00万元（详见下表）。本年度拟购置固定资产总额为0.00万元，已按要求列入政府采购预算，详见政府采购预算表。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907001霸州市供销合作社联合社本级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p>
        </w:tc>
        <w:tc>
          <w:tcPr>
            <w:tcW w:w="2835" w:type="dxa"/>
            <w:vAlign w:val="center"/>
          </w:tcPr>
          <w:p>
            <w:pPr>
              <w:pStyle w:val="17"/>
            </w:pPr>
          </w:p>
        </w:tc>
        <w:tc>
          <w:tcPr>
            <w:tcW w:w="2835" w:type="dxa"/>
            <w:vAlign w:val="center"/>
          </w:tcPr>
          <w:p>
            <w:pPr>
              <w:pStyle w:val="15"/>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0"/>
      </w:pPr>
      <w:r>
        <w:rPr>
          <w:rFonts w:ascii="黑体" w:hAnsi="黑体" w:eastAsia="黑体" w:cs="黑体"/>
          <w:color w:val="000000"/>
          <w:sz w:val="32"/>
        </w:rPr>
        <w:t>八、名词解释</w:t>
      </w:r>
    </w:p>
    <w:p>
      <w:pPr>
        <w:spacing w:before="0" w:after="0" w:line="500" w:lineRule="exact"/>
        <w:ind w:firstLine="560"/>
        <w:jc w:val="both"/>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both"/>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both"/>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both"/>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bookmarkStart w:id="1" w:name="_GoBack"/>
      <w:bookmarkEnd w:id="1"/>
      <w:r>
        <w:rPr>
          <w:rFonts w:ascii="Times New Roman" w:hAnsi="Times New Roman" w:eastAsia="方正仿宋_GBK" w:cs="Times New Roman"/>
          <w:b/>
          <w:color w:val="000000"/>
          <w:sz w:val="28"/>
        </w:rPr>
        <w:t>：</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both"/>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both"/>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both"/>
        <w:outlineLvl w:val="0"/>
      </w:pPr>
      <w:r>
        <w:rPr>
          <w:rFonts w:ascii="黑体" w:hAnsi="黑体" w:eastAsia="黑体" w:cs="黑体"/>
          <w:color w:val="000000"/>
          <w:sz w:val="32"/>
        </w:rPr>
        <w:t>九、其他需要说明的事项</w:t>
      </w:r>
    </w:p>
    <w:p>
      <w:pPr>
        <w:spacing w:before="0" w:after="0" w:line="500" w:lineRule="exact"/>
        <w:ind w:firstLine="560"/>
        <w:jc w:val="both"/>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zI3ZTM4Y2I5ODI0NWZiODE5ZDczM2U3NjBkNzYzNTgifQ=="/>
  </w:docVars>
  <w:rsids>
    <w:rsidRoot w:val="00000000"/>
    <w:rsid w:val="0BC210BB"/>
    <w:rsid w:val="113C4112"/>
    <w:rsid w:val="26E26BAD"/>
    <w:rsid w:val="2B625B08"/>
    <w:rsid w:val="2D1C6B0A"/>
    <w:rsid w:val="31F94BFE"/>
    <w:rsid w:val="50D344D2"/>
    <w:rsid w:val="63760873"/>
    <w:rsid w:val="67784B03"/>
    <w:rsid w:val="697A22BD"/>
    <w:rsid w:val="71D47B85"/>
    <w:rsid w:val="7B112C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2023-02-23T11:56:31Z</dcterms:created>
  <dcterms:modified xsi:type="dcterms:W3CDTF">2023-02-23T03:56:31Z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2023-02-23T11:56:37Z</dcterms:created>
  <dcterms:modified xsi:type="dcterms:W3CDTF">2023-02-23T03:56:37Z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2023-02-23T11:56:37Z</dcterms:created>
  <dcterms:modified xsi:type="dcterms:W3CDTF">2023-02-23T03:56:37Z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2023-02-23T11:56:37Z</dcterms:created>
  <dcterms:modified xsi:type="dcterms:W3CDTF">2023-02-23T03:56:37Z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2023-02-23T11:56:37Z</dcterms:created>
  <dcterms:modified xsi:type="dcterms:W3CDTF">2023-02-23T03:56:37Z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2023-02-23T11:56:36Z</dcterms:created>
  <dcterms:modified xsi:type="dcterms:W3CDTF">2023-02-23T03:56:36Z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2023-02-23T11:56:32Z</dcterms:created>
  <dcterms:modified xsi:type="dcterms:W3CDTF">2023-02-23T03:56:32Z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2023-02-23T11:56:31Z</dcterms:created>
  <dcterms:modified xsi:type="dcterms:W3CDTF">2023-02-23T03:56:31Z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2023-02-23T11:56:30Z</dcterms:created>
  <dcterms:modified xsi:type="dcterms:W3CDTF">2023-02-23T03:56:30Z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2023-02-23T11:56:31Z</dcterms:created>
  <dcterms:modified xsi:type="dcterms:W3CDTF">2023-02-23T03:56:31Z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2023-02-23T11:56:31Z</dcterms:created>
  <dcterms:modified xsi:type="dcterms:W3CDTF">2023-02-23T03:56:31Z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2023-02-23T11:56:31Z</dcterms:created>
  <dcterms:modified xsi:type="dcterms:W3CDTF">2023-02-23T03:56:31Z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2023-02-23T11:56:38Z</dcterms:created>
  <dcterms:modified xsi:type="dcterms:W3CDTF">2023-02-23T03:56:38Z</dcterms:modified>
</cp:coreProperties>
</file>

<file path=customXml/itemProps1.xml><?xml version="1.0" encoding="utf-8"?>
<ds:datastoreItem xmlns:ds="http://schemas.openxmlformats.org/officeDocument/2006/customXml" ds:itemID="{3138a37f-c16c-4f62-9aef-162904758c00}">
  <ds:schemaRefs/>
</ds:datastoreItem>
</file>

<file path=customXml/itemProps10.xml><?xml version="1.0" encoding="utf-8"?>
<ds:datastoreItem xmlns:ds="http://schemas.openxmlformats.org/officeDocument/2006/customXml" ds:itemID="{e3efdb88-eded-4bd6-b1f3-288971ce3a81}">
  <ds:schemaRefs/>
</ds:datastoreItem>
</file>

<file path=customXml/itemProps11.xml><?xml version="1.0" encoding="utf-8"?>
<ds:datastoreItem xmlns:ds="http://schemas.openxmlformats.org/officeDocument/2006/customXml" ds:itemID="{51a11e2d-7929-4848-932d-0ac78caa26ec}">
  <ds:schemaRefs/>
</ds:datastoreItem>
</file>

<file path=customXml/itemProps12.xml><?xml version="1.0" encoding="utf-8"?>
<ds:datastoreItem xmlns:ds="http://schemas.openxmlformats.org/officeDocument/2006/customXml" ds:itemID="{12e64ade-d073-4feb-a282-721f61b24e6f}">
  <ds:schemaRefs/>
</ds:datastoreItem>
</file>

<file path=customXml/itemProps13.xml><?xml version="1.0" encoding="utf-8"?>
<ds:datastoreItem xmlns:ds="http://schemas.openxmlformats.org/officeDocument/2006/customXml" ds:itemID="{188d23dd-c6cc-4f54-ba93-77b13c7311bc}">
  <ds:schemaRefs/>
</ds:datastoreItem>
</file>

<file path=customXml/itemProps14.xml><?xml version="1.0" encoding="utf-8"?>
<ds:datastoreItem xmlns:ds="http://schemas.openxmlformats.org/officeDocument/2006/customXml" ds:itemID="{d18c5479-e821-445c-89a4-55052ee48ac5}">
  <ds:schemaRefs/>
</ds:datastoreItem>
</file>

<file path=customXml/itemProps15.xml><?xml version="1.0" encoding="utf-8"?>
<ds:datastoreItem xmlns:ds="http://schemas.openxmlformats.org/officeDocument/2006/customXml" ds:itemID="{5cbde0e8-2efb-4d3b-8698-4f4b645242a3}">
  <ds:schemaRefs/>
</ds:datastoreItem>
</file>

<file path=customXml/itemProps16.xml><?xml version="1.0" encoding="utf-8"?>
<ds:datastoreItem xmlns:ds="http://schemas.openxmlformats.org/officeDocument/2006/customXml" ds:itemID="{3e919ddc-adcc-4dad-b611-5764899b6b86}">
  <ds:schemaRefs/>
</ds:datastoreItem>
</file>

<file path=customXml/itemProps17.xml><?xml version="1.0" encoding="utf-8"?>
<ds:datastoreItem xmlns:ds="http://schemas.openxmlformats.org/officeDocument/2006/customXml" ds:itemID="{c664bcf0-e94d-49f9-bd7d-c2e814e13199}">
  <ds:schemaRefs/>
</ds:datastoreItem>
</file>

<file path=customXml/itemProps18.xml><?xml version="1.0" encoding="utf-8"?>
<ds:datastoreItem xmlns:ds="http://schemas.openxmlformats.org/officeDocument/2006/customXml" ds:itemID="{69e8e5a3-42fe-4e99-b545-c4329af16ef7}">
  <ds:schemaRefs/>
</ds:datastoreItem>
</file>

<file path=customXml/itemProps19.xml><?xml version="1.0" encoding="utf-8"?>
<ds:datastoreItem xmlns:ds="http://schemas.openxmlformats.org/officeDocument/2006/customXml" ds:itemID="{4469db9d-bde5-4382-bf1a-abf19e9394b5}">
  <ds:schemaRefs/>
</ds:datastoreItem>
</file>

<file path=customXml/itemProps2.xml><?xml version="1.0" encoding="utf-8"?>
<ds:datastoreItem xmlns:ds="http://schemas.openxmlformats.org/officeDocument/2006/customXml" ds:itemID="{6edbbfaa-e15e-48a3-a491-bfe627f0d65c}">
  <ds:schemaRefs/>
</ds:datastoreItem>
</file>

<file path=customXml/itemProps20.xml><?xml version="1.0" encoding="utf-8"?>
<ds:datastoreItem xmlns:ds="http://schemas.openxmlformats.org/officeDocument/2006/customXml" ds:itemID="{196c1128-6a15-404d-8933-6b5bfa2ea332}">
  <ds:schemaRefs/>
</ds:datastoreItem>
</file>

<file path=customXml/itemProps21.xml><?xml version="1.0" encoding="utf-8"?>
<ds:datastoreItem xmlns:ds="http://schemas.openxmlformats.org/officeDocument/2006/customXml" ds:itemID="{1d7f071f-d0db-4ab1-8065-4e802236b6b0}">
  <ds:schemaRefs/>
</ds:datastoreItem>
</file>

<file path=customXml/itemProps22.xml><?xml version="1.0" encoding="utf-8"?>
<ds:datastoreItem xmlns:ds="http://schemas.openxmlformats.org/officeDocument/2006/customXml" ds:itemID="{34c43e5f-f230-4cc1-a671-9d8cfed571ad}">
  <ds:schemaRefs/>
</ds:datastoreItem>
</file>

<file path=customXml/itemProps23.xml><?xml version="1.0" encoding="utf-8"?>
<ds:datastoreItem xmlns:ds="http://schemas.openxmlformats.org/officeDocument/2006/customXml" ds:itemID="{8d2128c2-9423-42e4-812e-eaf4d6f2e2da}">
  <ds:schemaRefs/>
</ds:datastoreItem>
</file>

<file path=customXml/itemProps24.xml><?xml version="1.0" encoding="utf-8"?>
<ds:datastoreItem xmlns:ds="http://schemas.openxmlformats.org/officeDocument/2006/customXml" ds:itemID="{f63902e3-0fcf-4b58-bf64-dbaa02a052ec}">
  <ds:schemaRefs/>
</ds:datastoreItem>
</file>

<file path=customXml/itemProps25.xml><?xml version="1.0" encoding="utf-8"?>
<ds:datastoreItem xmlns:ds="http://schemas.openxmlformats.org/officeDocument/2006/customXml" ds:itemID="{6e5c98d4-3712-462b-b5f0-6c467d4d7e55}">
  <ds:schemaRefs/>
</ds:datastoreItem>
</file>

<file path=customXml/itemProps26.xml><?xml version="1.0" encoding="utf-8"?>
<ds:datastoreItem xmlns:ds="http://schemas.openxmlformats.org/officeDocument/2006/customXml" ds:itemID="{8852f305-5068-4413-a0ac-06bce6121941}">
  <ds:schemaRefs/>
</ds:datastoreItem>
</file>

<file path=customXml/itemProps3.xml><?xml version="1.0" encoding="utf-8"?>
<ds:datastoreItem xmlns:ds="http://schemas.openxmlformats.org/officeDocument/2006/customXml" ds:itemID="{b0408724-beb2-4159-9b91-a4bf7724eaa1}">
  <ds:schemaRefs/>
</ds:datastoreItem>
</file>

<file path=customXml/itemProps4.xml><?xml version="1.0" encoding="utf-8"?>
<ds:datastoreItem xmlns:ds="http://schemas.openxmlformats.org/officeDocument/2006/customXml" ds:itemID="{94e2ad10-6122-47c0-9ebd-580791015d22}">
  <ds:schemaRefs/>
</ds:datastoreItem>
</file>

<file path=customXml/itemProps5.xml><?xml version="1.0" encoding="utf-8"?>
<ds:datastoreItem xmlns:ds="http://schemas.openxmlformats.org/officeDocument/2006/customXml" ds:itemID="{ed100cd7-de9e-4df0-bffc-0ef82c15bb96}">
  <ds:schemaRefs/>
</ds:datastoreItem>
</file>

<file path=customXml/itemProps6.xml><?xml version="1.0" encoding="utf-8"?>
<ds:datastoreItem xmlns:ds="http://schemas.openxmlformats.org/officeDocument/2006/customXml" ds:itemID="{9fef918d-78cc-458e-a532-3a8fafccaa42}">
  <ds:schemaRefs/>
</ds:datastoreItem>
</file>

<file path=customXml/itemProps7.xml><?xml version="1.0" encoding="utf-8"?>
<ds:datastoreItem xmlns:ds="http://schemas.openxmlformats.org/officeDocument/2006/customXml" ds:itemID="{f37c33f8-0879-4d65-928d-e0040f6d6c47}">
  <ds:schemaRefs/>
</ds:datastoreItem>
</file>

<file path=customXml/itemProps8.xml><?xml version="1.0" encoding="utf-8"?>
<ds:datastoreItem xmlns:ds="http://schemas.openxmlformats.org/officeDocument/2006/customXml" ds:itemID="{47dbc457-82f0-470d-be68-7fb7ec2ba3ca}">
  <ds:schemaRefs/>
</ds:datastoreItem>
</file>

<file path=customXml/itemProps9.xml><?xml version="1.0" encoding="utf-8"?>
<ds:datastoreItem xmlns:ds="http://schemas.openxmlformats.org/officeDocument/2006/customXml" ds:itemID="{1cfd4665-1a55-42e2-a9e7-8ea3429d4545}">
  <ds:schemaRefs/>
</ds:datastoreItem>
</file>

<file path=docProps/app.xml><?xml version="1.0" encoding="utf-8"?>
<Properties xmlns="http://schemas.openxmlformats.org/officeDocument/2006/extended-properties" xmlns:vt="http://schemas.openxmlformats.org/officeDocument/2006/docPropsVTypes">
  <Pages>35</Pages>
  <Words>8379</Words>
  <Characters>9296</Characters>
  <TotalTime>16</TotalTime>
  <ScaleCrop>false</ScaleCrop>
  <LinksUpToDate>false</LinksUpToDate>
  <CharactersWithSpaces>9447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2023-02-23T11:56:00Z</dcterms:created>
  <dc:creator>lenovo</dc:creator>
  <cp:lastModifiedBy>勿动</cp:lastModifiedBy>
  <dcterms:modified xsi:type="dcterms:W3CDTF">2023-06-02T01:04:35Z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DD523FEEC6154926B90B3E67B983417E</vt:lpwstr>
  </property>
</Properties>
</file>